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件4</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2265680</wp:posOffset>
                </wp:positionH>
                <wp:positionV relativeFrom="paragraph">
                  <wp:posOffset>285115</wp:posOffset>
                </wp:positionV>
                <wp:extent cx="2733040" cy="635"/>
                <wp:effectExtent l="0" t="0" r="0" b="0"/>
                <wp:wrapNone/>
                <wp:docPr id="7" name="直接箭头连接符 7"/>
                <wp:cNvGraphicFramePr/>
                <a:graphic xmlns:a="http://schemas.openxmlformats.org/drawingml/2006/main">
                  <a:graphicData uri="http://schemas.microsoft.com/office/word/2010/wordprocessingShape">
                    <wps:wsp>
                      <wps:cNvCnPr/>
                      <wps:spPr>
                        <a:xfrm flipV="1">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8.4pt;margin-top:22.45pt;height:0.05pt;width:215.2pt;z-index:251662336;mso-width-relative:page;mso-height-relative:page;" filled="f" stroked="t" coordsize="21600,21600" o:gfxdata="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F&#10;09DYAAAACQEAAA8AAAAAAAAAAQAgAAAAIgAAAGRycy9kb3ducmV2LnhtbFBLAQIUABQAAAAIAIdO&#10;4kC1BaQT6gEAAKoDAAAOAAAAAAAAAAEAIAAAACcBAABkcnMvZTJvRG9jLnhtbFBLBQYAAAAABgAG&#10;AFkBAACDBQ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企  业  名  称：</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eastAsia"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3360" behindDoc="0" locked="0" layoutInCell="1" allowOverlap="1">
                <wp:simplePos x="0" y="0"/>
                <wp:positionH relativeFrom="column">
                  <wp:posOffset>2242820</wp:posOffset>
                </wp:positionH>
                <wp:positionV relativeFrom="paragraph">
                  <wp:posOffset>300355</wp:posOffset>
                </wp:positionV>
                <wp:extent cx="2700020" cy="635"/>
                <wp:effectExtent l="0" t="0" r="0" b="0"/>
                <wp:wrapNone/>
                <wp:docPr id="8" name="直接箭头连接符 8"/>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6.6pt;margin-top:23.65pt;height:0.05pt;width:212.6pt;z-index:251663360;mso-width-relative:page;mso-height-relative:page;" filled="f" stroked="t" coordsize="21600,21600" o:gfxdata="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iNc&#10;X9cAAAAJAQAADwAAAAAAAAABACAAAAAiAAAAZHJzL2Rvd25yZXYueG1sUEsBAhQAFAAAAAgAh07i&#10;QHnZvyjqAQAAqgMAAA4AAAAAAAAAAQAgAAAAJgEAAGRycy9lMm9Eb2MueG1sUEsFBgAAAAAGAAYA&#10;WQEAAII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第三方机构名称</w:t>
      </w:r>
      <w:r>
        <w:rPr>
          <w:rFonts w:hint="eastAsia" w:ascii="Times New Roman" w:hAnsi="Times New Roman" w:eastAsia="仿宋" w:cs="Times New Roman"/>
          <w:sz w:val="32"/>
          <w:szCs w:val="32"/>
          <w:highlight w:val="none"/>
          <w:lang w:eastAsia="zh-CN"/>
        </w:rPr>
        <w:t>：</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678"/>
        <w:gridCol w:w="663"/>
        <w:gridCol w:w="255"/>
        <w:gridCol w:w="1432"/>
        <w:gridCol w:w="549"/>
        <w:gridCol w:w="37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8"/>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41" w:type="dxa"/>
            <w:gridSpan w:val="2"/>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687"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584" w:type="dxa"/>
            <w:gridSpan w:val="3"/>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41" w:type="dxa"/>
            <w:gridSpan w:val="2"/>
            <w:vAlign w:val="center"/>
          </w:tcPr>
          <w:p>
            <w:pPr>
              <w:widowControl/>
              <w:jc w:val="left"/>
              <w:rPr>
                <w:rFonts w:hint="default" w:ascii="Times New Roman" w:hAnsi="Times New Roman" w:eastAsia="仿宋" w:cs="Times New Roman"/>
                <w:color w:val="000000"/>
                <w:kern w:val="0"/>
                <w:sz w:val="24"/>
                <w:highlight w:val="none"/>
              </w:rPr>
            </w:pPr>
          </w:p>
        </w:tc>
        <w:tc>
          <w:tcPr>
            <w:tcW w:w="1687"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584" w:type="dxa"/>
            <w:gridSpan w:val="3"/>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41" w:type="dxa"/>
            <w:gridSpan w:val="2"/>
            <w:vAlign w:val="center"/>
          </w:tcPr>
          <w:p>
            <w:pPr>
              <w:widowControl/>
              <w:jc w:val="left"/>
              <w:rPr>
                <w:rFonts w:hint="default" w:ascii="Times New Roman" w:hAnsi="Times New Roman" w:eastAsia="仿宋" w:cs="Times New Roman"/>
                <w:color w:val="000000"/>
                <w:kern w:val="0"/>
                <w:sz w:val="24"/>
                <w:highlight w:val="none"/>
              </w:rPr>
            </w:pPr>
          </w:p>
        </w:tc>
        <w:tc>
          <w:tcPr>
            <w:tcW w:w="1687"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584" w:type="dxa"/>
            <w:gridSpan w:val="3"/>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供应商数量</w:t>
            </w:r>
          </w:p>
        </w:tc>
        <w:tc>
          <w:tcPr>
            <w:tcW w:w="1678" w:type="dxa"/>
            <w:vAlign w:val="center"/>
          </w:tcPr>
          <w:p>
            <w:pPr>
              <w:widowControl/>
              <w:jc w:val="left"/>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 xml:space="preserve">        家</w:t>
            </w:r>
          </w:p>
        </w:tc>
        <w:tc>
          <w:tcPr>
            <w:tcW w:w="3275"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供应商中，国家绿色工厂数量</w:t>
            </w:r>
          </w:p>
        </w:tc>
        <w:tc>
          <w:tcPr>
            <w:tcW w:w="1659" w:type="dxa"/>
            <w:vAlign w:val="center"/>
          </w:tcPr>
          <w:p>
            <w:pPr>
              <w:widowControl/>
              <w:jc w:val="center"/>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8"/>
            <w:tcBorders>
              <w:top w:val="nil"/>
            </w:tcBorders>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法定代表人电话</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kern w:val="0"/>
                <w:sz w:val="24"/>
                <w:szCs w:val="24"/>
                <w:highlight w:val="none"/>
              </w:rPr>
              <w:t>负责人电话</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8"/>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1910" w:type="dxa"/>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7"/>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8"/>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9"/>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.对企业是否存在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对企业</w:t>
      </w:r>
      <w:r>
        <w:rPr>
          <w:rFonts w:hint="eastAsia" w:ascii="Times New Roman" w:hAnsi="Times New Roman" w:eastAsia="仿宋" w:cs="Times New Roman"/>
          <w:sz w:val="30"/>
          <w:szCs w:val="30"/>
          <w:highlight w:val="none"/>
          <w:lang w:val="en-US" w:eastAsia="zh-CN"/>
        </w:rPr>
        <w:t>是否符合《绿色供应链管理企业评价要求》中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4.</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w:t>
      </w:r>
      <w:r>
        <w:rPr>
          <w:rFonts w:hint="eastAsia" w:ascii="Times New Roman" w:hAnsi="Times New Roman" w:eastAsia="仿宋" w:cs="Times New Roman"/>
          <w:bCs w:val="0"/>
          <w:sz w:val="30"/>
          <w:szCs w:val="30"/>
          <w:highlight w:val="none"/>
          <w:lang w:val="en-US" w:eastAsia="zh-CN"/>
        </w:rPr>
        <w:t>1.</w:t>
      </w:r>
      <w:r>
        <w:rPr>
          <w:rFonts w:hint="default" w:ascii="Times New Roman" w:hAnsi="Times New Roman" w:eastAsia="仿宋" w:cs="Times New Roman"/>
          <w:bCs w:val="0"/>
          <w:sz w:val="30"/>
          <w:szCs w:val="30"/>
          <w:highlight w:val="none"/>
          <w:lang w:val="en-US" w:eastAsia="zh-CN"/>
        </w:rPr>
        <w:t>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jc w:val="lef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w:t>
      </w:r>
      <w:r>
        <w:rPr>
          <w:rFonts w:hint="eastAsia" w:ascii="Times New Roman" w:hAnsi="Times New Roman" w:eastAsia="仿宋" w:cs="Times New Roman"/>
          <w:bCs w:val="0"/>
          <w:sz w:val="30"/>
          <w:szCs w:val="30"/>
          <w:highlight w:val="none"/>
          <w:lang w:val="en-US" w:eastAsia="zh-CN"/>
        </w:rPr>
        <w:t>1.</w:t>
      </w:r>
      <w:r>
        <w:rPr>
          <w:rFonts w:hint="default" w:ascii="Times New Roman" w:hAnsi="Times New Roman" w:eastAsia="仿宋" w:cs="Times New Roman"/>
          <w:bCs w:val="0"/>
          <w:sz w:val="30"/>
          <w:szCs w:val="30"/>
          <w:highlight w:val="none"/>
          <w:lang w:val="en-US" w:eastAsia="zh-CN"/>
        </w:rPr>
        <w:t>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5"/>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一级指标</w:t>
            </w:r>
          </w:p>
        </w:tc>
        <w:tc>
          <w:tcPr>
            <w:tcW w:w="728"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序号</w:t>
            </w:r>
          </w:p>
        </w:tc>
        <w:tc>
          <w:tcPr>
            <w:tcW w:w="3601"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二级指标</w:t>
            </w:r>
          </w:p>
        </w:tc>
        <w:tc>
          <w:tcPr>
            <w:tcW w:w="719"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单位</w:t>
            </w:r>
          </w:p>
        </w:tc>
        <w:tc>
          <w:tcPr>
            <w:tcW w:w="840"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最高分值</w:t>
            </w:r>
          </w:p>
        </w:tc>
        <w:tc>
          <w:tcPr>
            <w:tcW w:w="1285"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80" w:type="dxa"/>
            <w:vAlign w:val="center"/>
          </w:tcPr>
          <w:p>
            <w:pPr>
              <w:jc w:val="center"/>
              <w:rPr>
                <w:rFonts w:hint="eastAsia" w:ascii="Times New Roman" w:hAnsi="Times New Roman" w:eastAsia="仿宋" w:cs="Times New Roman"/>
                <w:sz w:val="24"/>
                <w:highlight w:val="none"/>
                <w:lang w:val="en-US" w:eastAsia="zh-CN"/>
              </w:rPr>
            </w:pPr>
            <w:r>
              <w:rPr>
                <w:rFonts w:hint="eastAsia" w:ascii="Times New Roman" w:hAnsi="Times New Roman" w:eastAsia="仿宋" w:cs="Times New Roman"/>
                <w:sz w:val="24"/>
                <w:highlight w:val="none"/>
                <w:lang w:val="en-US" w:eastAsia="zh-CN"/>
              </w:rPr>
              <w:t>加分项</w:t>
            </w:r>
          </w:p>
        </w:tc>
        <w:tc>
          <w:tcPr>
            <w:tcW w:w="4329" w:type="dxa"/>
            <w:gridSpan w:val="2"/>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“碳足迹核算”情况</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eastAsia" w:ascii="Times New Roman" w:hAnsi="Times New Roman" w:eastAsia="仿宋" w:cs="Times New Roman"/>
                <w:sz w:val="24"/>
                <w:highlight w:val="none"/>
                <w:lang w:val="en-US" w:eastAsia="zh-CN"/>
              </w:rPr>
            </w:pPr>
            <w:r>
              <w:rPr>
                <w:rFonts w:hint="eastAsia" w:ascii="Times New Roman" w:hAnsi="Times New Roman" w:eastAsia="仿宋" w:cs="Times New Roman"/>
                <w:sz w:val="24"/>
                <w:highlight w:val="none"/>
                <w:lang w:val="en-US" w:eastAsia="zh-CN"/>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bl>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注：电子电器、机械、汽车行业</w:t>
      </w:r>
      <w:r>
        <w:rPr>
          <w:rFonts w:hint="eastAsia" w:ascii="Times New Roman" w:hAnsi="Times New Roman" w:eastAsia="仿宋" w:cs="Times New Roman"/>
          <w:kern w:val="0"/>
          <w:sz w:val="24"/>
          <w:szCs w:val="24"/>
          <w:highlight w:val="none"/>
          <w:lang w:val="en-US" w:eastAsia="zh-CN"/>
        </w:rPr>
        <w:t>请</w:t>
      </w:r>
      <w:r>
        <w:rPr>
          <w:rFonts w:hint="default" w:ascii="Times New Roman" w:hAnsi="Times New Roman" w:eastAsia="仿宋" w:cs="Times New Roman"/>
          <w:kern w:val="0"/>
          <w:sz w:val="24"/>
          <w:szCs w:val="24"/>
          <w:highlight w:val="none"/>
        </w:rPr>
        <w:t>根据“绿色供应链管理评价标准清单”中的指标体系自行设计该表格</w:t>
      </w:r>
      <w:r>
        <w:rPr>
          <w:rFonts w:hint="eastAsia" w:ascii="Times New Roman" w:hAnsi="Times New Roman" w:eastAsia="仿宋" w:cs="Times New Roman"/>
          <w:kern w:val="0"/>
          <w:sz w:val="24"/>
          <w:szCs w:val="24"/>
          <w:highlight w:val="none"/>
          <w:lang w:eastAsia="zh-CN"/>
        </w:rPr>
        <w:t>。</w:t>
      </w:r>
    </w:p>
    <w:p/>
    <w:p/>
    <w:p/>
    <w:p>
      <w:pPr>
        <w:jc w:val="center"/>
        <w:outlineLvl w:val="1"/>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绿色供应链管理</w:t>
      </w:r>
      <w:r>
        <w:rPr>
          <w:rFonts w:hint="eastAsia" w:ascii="方正小标宋简体" w:hAnsi="方正小标宋简体" w:eastAsia="方正小标宋简体" w:cs="方正小标宋简体"/>
          <w:sz w:val="36"/>
          <w:szCs w:val="36"/>
          <w:highlight w:val="none"/>
          <w:lang w:val="en-US" w:eastAsia="zh-CN"/>
        </w:rPr>
        <w:t>企业</w:t>
      </w:r>
      <w:r>
        <w:rPr>
          <w:rFonts w:hint="eastAsia" w:ascii="方正小标宋简体" w:hAnsi="方正小标宋简体" w:eastAsia="方正小标宋简体" w:cs="方正小标宋简体"/>
          <w:sz w:val="36"/>
          <w:szCs w:val="36"/>
          <w:highlight w:val="none"/>
        </w:rPr>
        <w:t>评价要求</w:t>
      </w:r>
    </w:p>
    <w:p>
      <w:pPr>
        <w:rPr>
          <w:rFonts w:hint="eastAsia"/>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一、总则</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（一）定义、目的及范围</w:t>
      </w:r>
    </w:p>
    <w:p>
      <w:pPr>
        <w:ind w:firstLine="640" w:firstLineChars="200"/>
        <w:rPr>
          <w:rFonts w:hint="eastAsia" w:ascii="仿宋_GB2312" w:eastAsia="仿宋_GB2312"/>
          <w:sz w:val="32"/>
          <w:szCs w:val="32"/>
        </w:rPr>
      </w:pPr>
      <w:r>
        <w:rPr>
          <w:rFonts w:hint="default" w:ascii="Times New Roman" w:hAnsi="Times New Roman" w:eastAsia="仿宋_GB2312" w:cs="Times New Roman"/>
          <w:i w:val="0"/>
          <w:iCs w:val="0"/>
          <w:caps w:val="0"/>
          <w:spacing w:val="0"/>
          <w:sz w:val="32"/>
          <w:szCs w:val="32"/>
          <w:highlight w:val="none"/>
        </w:rPr>
        <w:t>绿色供应链</w:t>
      </w:r>
      <w:r>
        <w:rPr>
          <w:rFonts w:hint="eastAsia" w:ascii="Times New Roman" w:hAnsi="Times New Roman" w:eastAsia="仿宋_GB2312" w:cs="Times New Roman"/>
          <w:i w:val="0"/>
          <w:iCs w:val="0"/>
          <w:caps w:val="0"/>
          <w:spacing w:val="0"/>
          <w:sz w:val="32"/>
          <w:szCs w:val="32"/>
          <w:highlight w:val="none"/>
          <w:lang w:val="en-US" w:eastAsia="zh-CN"/>
        </w:rPr>
        <w:t>管理企业是</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rPr>
        <w:t>将</w:t>
      </w:r>
      <w:r>
        <w:rPr>
          <w:rFonts w:hint="eastAsia" w:ascii="Times New Roman" w:hAnsi="Times New Roman" w:eastAsia="仿宋_GB2312" w:cs="Times New Roman"/>
          <w:sz w:val="32"/>
          <w:szCs w:val="32"/>
          <w:highlight w:val="none"/>
          <w:lang w:val="en-US" w:eastAsia="zh-CN"/>
        </w:rPr>
        <w:t>绿色低碳发展</w:t>
      </w:r>
      <w:r>
        <w:rPr>
          <w:rFonts w:hint="default" w:ascii="Times New Roman" w:hAnsi="Times New Roman" w:eastAsia="仿宋_GB2312" w:cs="Times New Roman"/>
          <w:sz w:val="32"/>
          <w:szCs w:val="32"/>
          <w:highlight w:val="none"/>
        </w:rPr>
        <w:t>理念贯穿于企业产品设计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原材料采购、生产、运输、储存、销售、使用和报废处理</w:t>
      </w:r>
      <w:r>
        <w:rPr>
          <w:rFonts w:hint="eastAsia"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全过程，</w:t>
      </w:r>
      <w:r>
        <w:rPr>
          <w:rFonts w:hint="eastAsia" w:ascii="Times New Roman" w:hAnsi="Times New Roman" w:eastAsia="仿宋_GB2312" w:cs="Times New Roman"/>
          <w:sz w:val="32"/>
          <w:szCs w:val="32"/>
          <w:highlight w:val="none"/>
          <w:lang w:val="en-US" w:eastAsia="zh-CN"/>
        </w:rPr>
        <w:t>实现供应</w:t>
      </w:r>
      <w:r>
        <w:rPr>
          <w:rFonts w:hint="default" w:ascii="Times New Roman" w:hAnsi="Times New Roman" w:eastAsia="仿宋_GB2312" w:cs="Times New Roman"/>
          <w:sz w:val="32"/>
          <w:szCs w:val="32"/>
          <w:highlight w:val="none"/>
        </w:rPr>
        <w:t>链</w:t>
      </w:r>
      <w:r>
        <w:rPr>
          <w:rFonts w:hint="eastAsia" w:ascii="Times New Roman" w:hAnsi="Times New Roman" w:eastAsia="仿宋_GB2312" w:cs="Times New Roman"/>
          <w:sz w:val="32"/>
          <w:szCs w:val="32"/>
          <w:highlight w:val="none"/>
          <w:lang w:val="en-US" w:eastAsia="zh-CN"/>
        </w:rPr>
        <w:t>全链条绿色化水平协同提升的主导企业，是</w:t>
      </w:r>
      <w:r>
        <w:rPr>
          <w:rFonts w:hint="eastAsia" w:ascii="Times New Roman" w:hAnsi="Times New Roman" w:eastAsia="仿宋_GB2312" w:cs="Times New Roman"/>
          <w:i w:val="0"/>
          <w:iCs w:val="0"/>
          <w:caps w:val="0"/>
          <w:spacing w:val="0"/>
          <w:sz w:val="32"/>
          <w:szCs w:val="32"/>
          <w:highlight w:val="none"/>
          <w:lang w:val="en-US" w:eastAsia="zh-CN"/>
        </w:rPr>
        <w:t>带动供应链上下游工厂实施绿色制造的关键。</w:t>
      </w:r>
    </w:p>
    <w:p>
      <w:pPr>
        <w:ind w:firstLine="640" w:firstLineChars="200"/>
        <w:rPr>
          <w:rFonts w:hint="eastAsia" w:ascii="仿宋_GB2312" w:eastAsia="仿宋_GB2312"/>
          <w:sz w:val="32"/>
          <w:szCs w:val="32"/>
        </w:rPr>
      </w:pPr>
      <w:r>
        <w:rPr>
          <w:rFonts w:hint="eastAsia" w:ascii="仿宋_GB2312" w:eastAsia="仿宋_GB2312"/>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eastAsia" w:ascii="仿宋_GB2312" w:eastAsia="仿宋_GB2312"/>
          <w:sz w:val="32"/>
          <w:szCs w:val="32"/>
        </w:rPr>
      </w:pPr>
      <w:r>
        <w:rPr>
          <w:rFonts w:hint="eastAsia" w:ascii="仿宋_GB2312" w:eastAsia="仿宋_GB2312"/>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（二）基本要求</w:t>
      </w:r>
    </w:p>
    <w:p>
      <w:pPr>
        <w:ind w:firstLine="640" w:firstLineChars="200"/>
        <w:rPr>
          <w:rFonts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是依法设立并具有独立法人资格或者视同法人的独立核算单位；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具有较强的行业影响力；</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具有较完善的能源资源、环境管理体系，各项管理制度健全，符合国家和地方的法律法规及标准规范要求，近三年无重大安全和环境污染事故；</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对实施绿色供应链管理有明确的工作目标、思路、计划和措施。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二、企业绿色供应链管理关键环节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（一）确立可持续的绿色供应链管理战略</w:t>
      </w:r>
    </w:p>
    <w:p>
      <w:pPr>
        <w:ind w:firstLine="640" w:firstLineChars="200"/>
        <w:rPr>
          <w:rFonts w:hint="eastAsia" w:ascii="仿宋_GB2312" w:eastAsia="仿宋_GB2312"/>
          <w:sz w:val="32"/>
          <w:szCs w:val="32"/>
        </w:rPr>
      </w:pPr>
      <w:r>
        <w:rPr>
          <w:rFonts w:hint="eastAsia" w:ascii="仿宋_GB2312" w:eastAsia="仿宋_GB2312"/>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（二）实施绿色供应商管理</w:t>
      </w:r>
    </w:p>
    <w:p>
      <w:pPr>
        <w:ind w:firstLine="640" w:firstLineChars="200"/>
        <w:rPr>
          <w:rFonts w:hint="eastAsia" w:ascii="仿宋_GB2312" w:eastAsia="仿宋_GB2312"/>
          <w:sz w:val="32"/>
          <w:szCs w:val="32"/>
        </w:rPr>
      </w:pPr>
      <w:r>
        <w:rPr>
          <w:rFonts w:hint="eastAsia" w:ascii="仿宋_GB2312" w:eastAsia="仿宋_GB2312"/>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eastAsia" w:ascii="仿宋_GB2312" w:eastAsia="仿宋_GB2312"/>
          <w:sz w:val="32"/>
          <w:szCs w:val="32"/>
          <w:lang w:val="en-US" w:eastAsia="zh-CN"/>
        </w:rPr>
        <w:t>材料</w:t>
      </w:r>
      <w:r>
        <w:rPr>
          <w:rFonts w:hint="eastAsia" w:ascii="仿宋_GB2312" w:eastAsia="仿宋_GB2312"/>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（三）强化绿色生产</w:t>
      </w:r>
    </w:p>
    <w:p>
      <w:pPr>
        <w:ind w:firstLine="640" w:firstLineChars="200"/>
        <w:outlineLvl w:val="9"/>
        <w:rPr>
          <w:rFonts w:hint="eastAsia" w:ascii="仿宋_GB2312" w:eastAsia="仿宋_GB2312"/>
          <w:sz w:val="32"/>
          <w:szCs w:val="32"/>
        </w:rPr>
      </w:pPr>
      <w:r>
        <w:rPr>
          <w:rFonts w:hint="eastAsia" w:ascii="仿宋_GB2312" w:eastAsia="仿宋_GB2312"/>
          <w:sz w:val="32"/>
          <w:szCs w:val="32"/>
        </w:rPr>
        <w:t>企业要建立基于产品全生命周期的绿色设计理念，整合环境数据资源，建立基础过程和产品数据库，构建评价模型，在研发设计阶段开展全生命周期</w:t>
      </w:r>
      <w:r>
        <w:rPr>
          <w:rFonts w:hint="default" w:ascii="Times New Roman" w:hAnsi="Times New Roman" w:eastAsia="仿宋_GB2312" w:cs="Times New Roman"/>
          <w:sz w:val="32"/>
          <w:szCs w:val="32"/>
        </w:rPr>
        <w:t>（LCA）</w:t>
      </w:r>
      <w:r>
        <w:rPr>
          <w:rFonts w:hint="eastAsia" w:ascii="仿宋_GB2312" w:eastAsia="仿宋_GB2312"/>
          <w:sz w:val="32"/>
          <w:szCs w:val="32"/>
        </w:rPr>
        <w:t>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（四）建设绿色回收体系</w:t>
      </w:r>
    </w:p>
    <w:p>
      <w:pPr>
        <w:ind w:firstLine="640" w:firstLineChars="200"/>
        <w:rPr>
          <w:rFonts w:hint="eastAsia" w:ascii="仿宋_GB2312" w:eastAsia="仿宋_GB2312"/>
          <w:sz w:val="32"/>
          <w:szCs w:val="32"/>
        </w:rPr>
      </w:pPr>
      <w:r>
        <w:rPr>
          <w:rFonts w:hint="eastAsia" w:ascii="仿宋_GB2312" w:eastAsia="仿宋_GB2312"/>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（五）搭建绿色信息收集监测披露平台</w:t>
      </w:r>
    </w:p>
    <w:p>
      <w:pPr>
        <w:ind w:firstLine="640" w:firstLineChars="200"/>
        <w:rPr>
          <w:rFonts w:hint="eastAsia" w:ascii="仿宋_GB2312" w:eastAsia="仿宋_GB2312"/>
          <w:sz w:val="32"/>
          <w:szCs w:val="32"/>
        </w:rPr>
      </w:pPr>
      <w:r>
        <w:rPr>
          <w:rFonts w:hint="eastAsia" w:ascii="仿宋_GB2312" w:eastAsia="仿宋_GB2312"/>
          <w:bCs/>
          <w:sz w:val="32"/>
          <w:szCs w:val="32"/>
        </w:rPr>
        <w:t>企业要建立能源消耗在线监测体系和</w:t>
      </w:r>
      <w:bookmarkStart w:id="0" w:name="OLE_LINK1"/>
      <w:bookmarkStart w:id="1" w:name="OLE_LINK2"/>
      <w:r>
        <w:rPr>
          <w:rFonts w:hint="eastAsia" w:ascii="仿宋_GB2312" w:eastAsia="仿宋_GB2312"/>
          <w:bCs/>
          <w:sz w:val="32"/>
          <w:szCs w:val="32"/>
        </w:rPr>
        <w:t>减排监测数据库</w:t>
      </w:r>
      <w:bookmarkEnd w:id="0"/>
      <w:bookmarkEnd w:id="1"/>
      <w:r>
        <w:rPr>
          <w:rFonts w:hint="eastAsia" w:ascii="仿宋_GB2312" w:eastAsia="仿宋_GB2312"/>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三、企业绿色供应链管理评价方法</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企业绿色供应链管理评价由第三方</w:t>
      </w:r>
      <w:r>
        <w:rPr>
          <w:rFonts w:hint="default" w:ascii="Times New Roman" w:hAnsi="Times New Roman" w:eastAsia="仿宋_GB2312" w:cs="Times New Roman"/>
          <w:sz w:val="32"/>
          <w:szCs w:val="32"/>
          <w:lang w:val="en-US" w:eastAsia="zh-CN"/>
        </w:rPr>
        <w:t>机构</w:t>
      </w:r>
      <w:r>
        <w:rPr>
          <w:rFonts w:hint="default" w:ascii="Times New Roman" w:hAnsi="Times New Roman" w:eastAsia="仿宋_GB2312" w:cs="Times New Roman"/>
          <w:sz w:val="32"/>
          <w:szCs w:val="32"/>
        </w:rPr>
        <w:t>组织实施。</w:t>
      </w:r>
    </w:p>
    <w:p>
      <w:pPr>
        <w:ind w:firstLine="640" w:firstLineChars="200"/>
        <w:rPr>
          <w:rFonts w:hint="eastAsia" w:ascii="仿宋_GB2312" w:eastAsia="仿宋_GB2312"/>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仿宋_GB2312" w:eastAsia="仿宋_GB2312"/>
          <w:sz w:val="32"/>
          <w:szCs w:val="32"/>
        </w:rPr>
        <w:t>第三方</w:t>
      </w:r>
      <w:r>
        <w:rPr>
          <w:rFonts w:hint="eastAsia" w:ascii="仿宋_GB2312" w:eastAsia="仿宋_GB2312"/>
          <w:sz w:val="32"/>
          <w:szCs w:val="32"/>
          <w:lang w:val="en-US" w:eastAsia="zh-CN"/>
        </w:rPr>
        <w:t>机构</w:t>
      </w:r>
      <w:r>
        <w:rPr>
          <w:rFonts w:hint="eastAsia" w:ascii="仿宋_GB2312" w:eastAsia="仿宋_GB2312"/>
          <w:sz w:val="32"/>
          <w:szCs w:val="32"/>
          <w:lang w:eastAsia="zh-CN"/>
        </w:rPr>
        <w:t>根据</w:t>
      </w:r>
      <w:r>
        <w:rPr>
          <w:rFonts w:hint="eastAsia" w:ascii="仿宋_GB2312" w:eastAsia="仿宋_GB2312"/>
          <w:sz w:val="32"/>
          <w:szCs w:val="32"/>
        </w:rPr>
        <w:t>绿色供应链管理关键环节，按照评价标准对企业进行实地调查，查阅相关文件、报表、数据等，确保评价结果客观准确。</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（二）评价指标体系</w:t>
      </w:r>
    </w:p>
    <w:p>
      <w:pPr>
        <w:ind w:firstLine="630"/>
        <w:rPr>
          <w:rFonts w:ascii="仿宋_GB2312" w:eastAsia="仿宋_GB2312"/>
          <w:sz w:val="32"/>
          <w:szCs w:val="32"/>
        </w:rPr>
      </w:pPr>
      <w:r>
        <w:rPr>
          <w:rFonts w:hint="eastAsia" w:ascii="仿宋_GB2312" w:eastAsia="仿宋_GB2312"/>
          <w:sz w:val="32"/>
          <w:szCs w:val="32"/>
        </w:rPr>
        <w:t>绿色供应链管理评价指标体系包括绿色供应链管理战略指标、绿色供应商管理指标、绿色生产指标、绿色回收指标、绿色信息平台建设指标、绿色信息</w:t>
      </w:r>
      <w:r>
        <w:rPr>
          <w:rFonts w:hint="default" w:ascii="Times New Roman" w:hAnsi="Times New Roman" w:eastAsia="仿宋_GB2312" w:cs="Times New Roman"/>
          <w:sz w:val="32"/>
          <w:szCs w:val="32"/>
        </w:rPr>
        <w:t>披露指标6个方面。具体如</w:t>
      </w:r>
      <w:r>
        <w:rPr>
          <w:rFonts w:hint="default" w:ascii="Times New Roman" w:hAnsi="Times New Roman" w:eastAsia="仿宋_GB2312" w:cs="Times New Roman"/>
          <w:sz w:val="32"/>
          <w:szCs w:val="32"/>
          <w:lang w:val="en-US" w:eastAsia="zh-CN"/>
        </w:rPr>
        <w:t>附</w:t>
      </w:r>
      <w:r>
        <w:rPr>
          <w:rFonts w:hint="default" w:ascii="Times New Roman" w:hAnsi="Times New Roman" w:eastAsia="仿宋_GB2312" w:cs="Times New Roman"/>
          <w:sz w:val="32"/>
          <w:szCs w:val="32"/>
        </w:rPr>
        <w:t>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1所示。</w:t>
      </w:r>
    </w:p>
    <w:p>
      <w:pPr>
        <w:ind w:left="0" w:leftChars="0" w:firstLine="0" w:firstLineChars="0"/>
        <w:jc w:val="center"/>
        <w:rPr>
          <w:rFonts w:hint="eastAsia" w:ascii="黑体" w:hAnsi="黑体" w:eastAsia="黑体"/>
          <w:sz w:val="28"/>
          <w:szCs w:val="28"/>
        </w:rPr>
      </w:pPr>
      <w:r>
        <w:rPr>
          <w:rFonts w:hint="eastAsia" w:ascii="黑体" w:hAnsi="黑体" w:eastAsia="黑体"/>
          <w:sz w:val="28"/>
          <w:szCs w:val="28"/>
          <w:lang w:val="en-US" w:eastAsia="zh-CN"/>
        </w:rPr>
        <w:t>附</w:t>
      </w:r>
      <w:r>
        <w:rPr>
          <w:rFonts w:hint="eastAsia" w:ascii="黑体" w:hAnsi="黑体" w:eastAsia="黑体"/>
          <w:sz w:val="28"/>
          <w:szCs w:val="28"/>
        </w:rPr>
        <w:t>表</w:t>
      </w:r>
      <w:r>
        <w:rPr>
          <w:rFonts w:hint="default" w:ascii="Times New Roman" w:hAnsi="Times New Roman" w:eastAsia="黑体" w:cs="Times New Roman"/>
          <w:sz w:val="28"/>
          <w:szCs w:val="28"/>
          <w:lang w:val="en-US" w:eastAsia="zh-CN"/>
        </w:rPr>
        <w:t>3.</w:t>
      </w:r>
      <w:r>
        <w:rPr>
          <w:rFonts w:hint="default" w:ascii="Times New Roman" w:hAnsi="Times New Roman" w:eastAsia="黑体" w:cs="Times New Roman"/>
          <w:sz w:val="28"/>
          <w:szCs w:val="28"/>
        </w:rPr>
        <w:t xml:space="preserve">1 </w:t>
      </w:r>
      <w:r>
        <w:rPr>
          <w:rFonts w:hint="eastAsia" w:ascii="黑体" w:hAnsi="黑体" w:eastAsia="黑体"/>
          <w:sz w:val="28"/>
          <w:szCs w:val="28"/>
        </w:rPr>
        <w:t xml:space="preserve"> 企业绿色供应链管理评价指标体系</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jc w:val="center"/>
              <w:rPr>
                <w:rFonts w:ascii="Times New Roman" w:hAnsi="Times New Roman" w:eastAsia="仿宋_GB2312"/>
                <w:sz w:val="24"/>
              </w:rPr>
            </w:pPr>
            <w:r>
              <w:rPr>
                <w:rFonts w:ascii="Times New Roman" w:hAnsi="Times New Roman" w:eastAsia="仿宋_GB2312"/>
                <w:sz w:val="24"/>
              </w:rPr>
              <w:t>一级指标</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3601" w:type="dxa"/>
            <w:vAlign w:val="center"/>
          </w:tcPr>
          <w:p>
            <w:pPr>
              <w:jc w:val="center"/>
              <w:rPr>
                <w:rFonts w:ascii="Times New Roman" w:hAnsi="Times New Roman" w:eastAsia="仿宋_GB2312"/>
                <w:sz w:val="24"/>
              </w:rPr>
            </w:pPr>
            <w:r>
              <w:rPr>
                <w:rFonts w:ascii="Times New Roman" w:hAnsi="Times New Roman" w:eastAsia="仿宋_GB2312"/>
                <w:sz w:val="24"/>
              </w:rPr>
              <w:t>二级指标</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单位</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最高分值</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绿色供应链管理</w:t>
            </w:r>
          </w:p>
          <w:p>
            <w:pPr>
              <w:jc w:val="center"/>
              <w:rPr>
                <w:rFonts w:ascii="Times New Roman" w:hAnsi="Times New Roman" w:eastAsia="仿宋_GB2312"/>
                <w:sz w:val="24"/>
              </w:rPr>
            </w:pPr>
            <w:r>
              <w:rPr>
                <w:rFonts w:ascii="Times New Roman" w:hAnsi="Times New Roman" w:eastAsia="仿宋_GB2312"/>
                <w:sz w:val="24"/>
              </w:rPr>
              <w:t>战略X1</w:t>
            </w: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1</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纳入公司发展规划X11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8</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2</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制定绿色供应链管理目标X12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3</w:t>
            </w:r>
          </w:p>
        </w:tc>
        <w:tc>
          <w:tcPr>
            <w:tcW w:w="3601" w:type="dxa"/>
            <w:vAlign w:val="center"/>
          </w:tcPr>
          <w:p>
            <w:pPr>
              <w:rPr>
                <w:rFonts w:ascii="Times New Roman" w:hAnsi="Times New Roman" w:eastAsia="仿宋_GB2312"/>
                <w:sz w:val="24"/>
              </w:rPr>
            </w:pPr>
            <w:r>
              <w:rPr>
                <w:rFonts w:ascii="Times New Roman" w:hAnsi="Times New Roman" w:eastAsia="仿宋_GB2312"/>
                <w:sz w:val="24"/>
              </w:rPr>
              <w:t>设置专门管理机构X13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实施绿色供应商</w:t>
            </w:r>
          </w:p>
          <w:p>
            <w:pPr>
              <w:jc w:val="center"/>
              <w:rPr>
                <w:rFonts w:ascii="Times New Roman" w:hAnsi="Times New Roman" w:eastAsia="仿宋_GB2312"/>
                <w:sz w:val="24"/>
              </w:rPr>
            </w:pPr>
            <w:r>
              <w:rPr>
                <w:rFonts w:ascii="Times New Roman" w:hAnsi="Times New Roman" w:eastAsia="仿宋_GB2312"/>
                <w:sz w:val="24"/>
              </w:rPr>
              <w:t>管理X2</w:t>
            </w: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4</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绿色采购标准制度完善X21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5</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供应商认证体系完善X22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6</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对供应商定期审核X23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7</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供应商绩效评估制度健全X24</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8</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定期对供应商进行培训X25</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9</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低风险供应商占比X26</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绿色生产X3</w:t>
            </w: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10</w:t>
            </w:r>
          </w:p>
        </w:tc>
        <w:tc>
          <w:tcPr>
            <w:tcW w:w="3601" w:type="dxa"/>
            <w:vAlign w:val="center"/>
          </w:tcPr>
          <w:p>
            <w:pPr>
              <w:rPr>
                <w:rFonts w:ascii="Times New Roman" w:hAnsi="Times New Roman" w:eastAsia="仿宋_GB2312"/>
                <w:sz w:val="24"/>
              </w:rPr>
            </w:pPr>
            <w:r>
              <w:rPr>
                <w:rFonts w:ascii="Times New Roman" w:hAnsi="Times New Roman" w:eastAsia="仿宋_GB2312"/>
                <w:sz w:val="24"/>
              </w:rPr>
              <w:t>节能减排环保合规X31</w:t>
            </w:r>
          </w:p>
        </w:tc>
        <w:tc>
          <w:tcPr>
            <w:tcW w:w="719" w:type="dxa"/>
            <w:vAlign w:val="center"/>
          </w:tcPr>
          <w:p>
            <w:pPr>
              <w:jc w:val="center"/>
              <w:rPr>
                <w:rFonts w:ascii="Times New Roman" w:hAnsi="Times New Roman" w:eastAsia="仿宋_GB2312"/>
                <w:sz w:val="24"/>
              </w:rPr>
            </w:pP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80" w:type="dxa"/>
            <w:vMerge w:val="continue"/>
            <w:vAlign w:val="center"/>
          </w:tcPr>
          <w:p>
            <w:pP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11</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符合有害物质限制使用管理办法X32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绿色回收X4</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12</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产品回收率X41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13</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包装回收率X42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14</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回收体系完善（含自建、与第三方联合回收）X43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15</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指导下游企业回收拆解X44</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p>
            <w:pPr>
              <w:jc w:val="center"/>
              <w:rPr>
                <w:rFonts w:ascii="Times New Roman" w:hAnsi="Times New Roman" w:eastAsia="仿宋_GB2312"/>
                <w:sz w:val="24"/>
              </w:rPr>
            </w:pP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80" w:type="dxa"/>
            <w:vAlign w:val="center"/>
          </w:tcPr>
          <w:p>
            <w:pPr>
              <w:jc w:val="center"/>
              <w:rPr>
                <w:rFonts w:ascii="Times New Roman" w:hAnsi="Times New Roman" w:eastAsia="仿宋_GB2312"/>
                <w:sz w:val="24"/>
              </w:rPr>
            </w:pPr>
            <w:r>
              <w:rPr>
                <w:rFonts w:ascii="Times New Roman" w:hAnsi="Times New Roman" w:eastAsia="仿宋_GB2312"/>
                <w:sz w:val="24"/>
              </w:rPr>
              <w:t>绿色信息平台建设X5</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16</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绿色供应链管理信息平台完善X51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80" w:type="dxa"/>
            <w:vMerge w:val="restart"/>
            <w:vAlign w:val="center"/>
          </w:tcPr>
          <w:p>
            <w:pPr>
              <w:rPr>
                <w:rFonts w:ascii="Times New Roman" w:hAnsi="Times New Roman" w:eastAsia="仿宋_GB2312"/>
                <w:sz w:val="24"/>
              </w:rPr>
            </w:pPr>
            <w:r>
              <w:rPr>
                <w:rFonts w:ascii="Times New Roman" w:hAnsi="Times New Roman" w:eastAsia="仿宋_GB2312"/>
                <w:sz w:val="24"/>
              </w:rPr>
              <w:t>绿色信息披露X6</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17</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披露企业节能减排减碳信息X61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18</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披露高、中风险供应商审核率及低风险供应商占比X62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19</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披露供应商节能减排信息X63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20</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发布企业社会责任报告（含绿色采购信息）X64</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bl>
    <w:p>
      <w:pPr>
        <w:ind w:firstLine="640" w:firstLineChars="200"/>
        <w:rPr>
          <w:rFonts w:hint="eastAsia" w:ascii="楷体" w:hAnsi="楷体" w:eastAsia="楷体" w:cs="楷体"/>
          <w:sz w:val="32"/>
          <w:szCs w:val="32"/>
        </w:rPr>
      </w:pPr>
      <w:r>
        <w:rPr>
          <w:rFonts w:hint="eastAsia" w:ascii="楷体" w:hAnsi="楷体" w:eastAsia="楷体" w:cs="楷体"/>
          <w:sz w:val="32"/>
          <w:szCs w:val="32"/>
        </w:rPr>
        <w:t>（三）绿色供应链评价指数计算方法</w:t>
      </w:r>
    </w:p>
    <w:p>
      <w:pPr>
        <w:ind w:firstLine="630"/>
        <w:rPr>
          <w:rFonts w:hint="eastAsia" w:ascii="仿宋_GB2312" w:eastAsia="仿宋_GB2312"/>
          <w:sz w:val="32"/>
          <w:szCs w:val="32"/>
        </w:rPr>
      </w:pPr>
      <w:r>
        <w:rPr>
          <w:rFonts w:hint="eastAsia" w:ascii="仿宋_GB2312" w:eastAsia="仿宋_GB2312"/>
          <w:sz w:val="32"/>
          <w:szCs w:val="32"/>
        </w:rPr>
        <w:t>企业绿色供应链管理指数的计算公式如下。</w:t>
      </w:r>
    </w:p>
    <w:p>
      <w:pPr>
        <w:ind w:left="320" w:hanging="320" w:hangingChars="100"/>
        <w:rPr>
          <w:rFonts w:hint="default" w:ascii="Times New Roman" w:hAnsi="Times New Roman" w:eastAsia="仿宋_GB2312" w:cs="Times New Roman"/>
          <w:position w:val="-30"/>
          <w:sz w:val="32"/>
          <w:szCs w:val="32"/>
        </w:rPr>
      </w:pPr>
      <w:r>
        <w:rPr>
          <w:rFonts w:hint="default" w:ascii="Times New Roman" w:hAnsi="Times New Roman" w:eastAsia="仿宋_GB2312" w:cs="Times New Roman"/>
          <w:position w:val="-30"/>
          <w:sz w:val="32"/>
          <w:szCs w:val="32"/>
        </w:rPr>
        <w:object>
          <v:shape id="_x0000_i1025" o:spt="75" type="#_x0000_t75" style="height:44.35pt;width:410.2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ind w:left="320" w:hanging="320" w:hangingChars="100"/>
        <w:rPr>
          <w:rFonts w:hint="eastAsia" w:ascii="仿宋_GB2312" w:eastAsia="仿宋_GB2312"/>
          <w:sz w:val="32"/>
          <w:szCs w:val="32"/>
        </w:rPr>
      </w:pPr>
      <w:r>
        <w:rPr>
          <w:rFonts w:hint="eastAsia" w:ascii="仿宋_GB2312" w:eastAsia="仿宋_GB2312"/>
          <w:sz w:val="32"/>
          <w:szCs w:val="32"/>
        </w:rPr>
        <w:t>式中</w:t>
      </w:r>
      <w:r>
        <w:rPr>
          <w:rFonts w:ascii="仿宋_GB2312" w:eastAsia="仿宋_GB2312"/>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65408;mso-width-relative:page;mso-height-relative:page;" o:ole="t" filled="f" o:preferrelative="t" stroked="f" coordsize="21600,21600">
            <v:path/>
            <v:fill on="f" alignshape="1" focussize="0,0"/>
            <v:stroke on="f"/>
            <v:imagedata r:id="rId8" o:title=""/>
            <o:lock v:ext="edit" aspectratio="t"/>
            <w10:wrap type="square" side="right"/>
          </v:shape>
          <o:OLEObject Type="Embed" ProgID="Equation.3" ShapeID="_x0000_s1026" DrawAspect="Content" ObjectID="_1468075726" r:id="rId7">
            <o:LockedField>false</o:LockedField>
          </o:OLEObject>
        </w:pict>
      </w:r>
      <w:r>
        <w:rPr>
          <w:rFonts w:hint="eastAsia" w:ascii="仿宋_GB2312" w:eastAsia="仿宋_GB2312"/>
          <w:sz w:val="32"/>
          <w:szCs w:val="32"/>
        </w:rPr>
        <w:t>GSCI为绿色供应链管理指数。</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）部分指标说明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4、节能减排环保合规：符合国家和地方有关环境法律和法规，近五年无重大安全、环保、质量事故；配备能源、水源监测设备及污染物监测设备（计量仪器符合GB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17167和GB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24789）。</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黑体" w:cs="Times New Roman"/>
          <w:sz w:val="32"/>
          <w:szCs w:val="32"/>
          <w:highlight w:val="none"/>
        </w:rPr>
        <w:sectPr>
          <w:footerReference r:id="rId3" w:type="default"/>
          <w:pgSz w:w="11906" w:h="16838"/>
          <w:pgMar w:top="1701" w:right="1587" w:bottom="1587" w:left="1587"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仿宋" w:cs="Times New Roman"/>
          <w:sz w:val="32"/>
          <w:szCs w:val="32"/>
        </w:rPr>
        <w:t>9、披露企业节能减排减碳信息：具体包括有毒有害物质使用、能源资源利</w:t>
      </w:r>
      <w:r>
        <w:rPr>
          <w:rFonts w:hint="eastAsia" w:ascii="仿宋" w:hAnsi="仿宋" w:eastAsia="仿宋" w:cs="仿宋"/>
          <w:sz w:val="32"/>
          <w:szCs w:val="32"/>
        </w:rPr>
        <w:t>用效率、污染物排放、碳排放减少量、产品回收利用率等信息。</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02F25"/>
    <w:rsid w:val="72746943"/>
    <w:rsid w:val="7B902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3">
    <w:name w:val="Title"/>
    <w:next w:val="1"/>
    <w:qFormat/>
    <w:uiPriority w:val="10"/>
    <w:pPr>
      <w:widowControl w:val="0"/>
      <w:spacing w:before="240" w:after="60"/>
      <w:jc w:val="center"/>
    </w:pPr>
    <w:rPr>
      <w:rFonts w:eastAsia="方正小标宋简体" w:asciiTheme="minorHAnsi" w:hAnsiTheme="minorHAnsi" w:cstheme="minorBidi"/>
      <w:bCs/>
      <w:kern w:val="2"/>
      <w:sz w:val="44"/>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2024-03-22T04:38:00Z</dcterms:created>
  <dc:creator>佢是阿宇</dc:creator>
  <cp:lastModifiedBy>佢是阿宇</cp:lastModifiedBy>
  <dcterms:modified xsi:type="dcterms:W3CDTF">2024-03-22T04:40:01Z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