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44"/>
          <w:lang w:eastAsia="zh-CN"/>
        </w:rPr>
      </w:pPr>
      <w:r>
        <w:rPr>
          <w:rFonts w:hint="eastAsia" w:ascii="黑体" w:hAnsi="黑体" w:eastAsia="黑体" w:cs="黑体"/>
          <w:kern w:val="44"/>
          <w:lang w:eastAsia="zh-CN"/>
        </w:rPr>
        <w:t>附件2</w:t>
      </w:r>
    </w:p>
    <w:p>
      <w:pPr>
        <w:ind w:firstLine="640" w:firstLineChars="200"/>
        <w:rPr>
          <w:rFonts w:hint="eastAsia"/>
          <w:kern w:val="2"/>
          <w:lang w:eastAsia="zh-CN" w:bidi="ar-SA"/>
        </w:rPr>
      </w:pPr>
    </w:p>
    <w:p>
      <w:pPr>
        <w:widowControl/>
        <w:jc w:val="center"/>
        <w:outlineLvl w:val="0"/>
        <w:rPr>
          <w:rFonts w:hint="eastAsia" w:ascii="方正小标宋简体" w:hAnsi="仿宋" w:eastAsia="方正小标宋简体" w:cs="Times New Roman"/>
          <w:kern w:val="44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kern w:val="44"/>
          <w:sz w:val="44"/>
          <w:szCs w:val="44"/>
          <w:lang w:eastAsia="zh-CN"/>
        </w:rPr>
        <w:t>起草说明</w:t>
      </w:r>
    </w:p>
    <w:p>
      <w:pPr>
        <w:ind w:firstLine="640" w:firstLineChars="200"/>
        <w:rPr>
          <w:rFonts w:hint="eastAsia"/>
          <w:kern w:val="2"/>
          <w:lang w:eastAsia="zh-CN" w:bidi="ar-SA"/>
        </w:rPr>
      </w:pPr>
    </w:p>
    <w:p>
      <w:pPr>
        <w:ind w:firstLine="640" w:firstLineChars="200"/>
        <w:rPr>
          <w:rFonts w:ascii="方正小标宋简体" w:hAnsi="方正小标宋简体" w:cs="Times New Roman"/>
          <w:kern w:val="44"/>
          <w:sz w:val="44"/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shd w:val="clear" w:color="auto" w:fill="FFFFFF"/>
          <w:lang w:eastAsia="zh-CN"/>
        </w:rPr>
        <w:t>《深圳市关于推动新材料产业集群高质量发展的若干措施》（深工信规〔2023〕11号），《深圳市市级财政专项资金管理办法》（深府规〔2018〕12号）、《深圳市工业和信息化产业发展专项资金管理办法》（深工信规〔2020〕9号）等有关规定，规范市工业和信息化局新材料产业发展项目扶持计划的组织实施，提高专项资金管理使用效益和管理水平，</w:t>
      </w:r>
      <w:r>
        <w:rPr>
          <w:rFonts w:hint="eastAsia"/>
          <w:lang w:eastAsia="zh-CN"/>
        </w:rPr>
        <w:t>市工业和信息化局研究起草了《深圳市工业和信息化局新材料产业发展项目扶持计划操作规程</w:t>
      </w:r>
      <w:r>
        <w:rPr>
          <w:rFonts w:hint="eastAsia"/>
          <w:color w:val="000000"/>
          <w:lang w:eastAsia="zh-CN"/>
        </w:rPr>
        <w:t>》（以下简称《操作规程》）。</w:t>
      </w:r>
      <w:r>
        <w:rPr>
          <w:rFonts w:hint="eastAsia"/>
          <w:shd w:val="clear" w:color="auto" w:fill="FFFFFF"/>
          <w:lang w:eastAsia="zh-CN"/>
        </w:rPr>
        <w:t>现将有关情况说明如下：</w:t>
      </w:r>
    </w:p>
    <w:p>
      <w:pPr>
        <w:ind w:firstLine="640" w:firstLineChars="200"/>
        <w:rPr>
          <w:rFonts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一、起草背景</w:t>
      </w:r>
    </w:p>
    <w:p>
      <w:pPr>
        <w:ind w:firstLine="640" w:firstLineChars="200"/>
        <w:rPr>
          <w:rFonts w:hint="eastAsia"/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为贯彻落实市委市政府关于“20+8”战略性新兴产业和未来产业集群发展的规划和部署，推动新材料产业集群高质量发展，</w:t>
      </w:r>
      <w:r>
        <w:rPr>
          <w:rFonts w:hint="eastAsia"/>
          <w:lang w:eastAsia="zh-CN"/>
        </w:rPr>
        <w:t>2023年9月，我市印发</w:t>
      </w:r>
      <w:r>
        <w:rPr>
          <w:rFonts w:hint="eastAsia"/>
          <w:shd w:val="clear" w:color="auto" w:fill="FFFFFF"/>
          <w:lang w:eastAsia="zh-CN"/>
        </w:rPr>
        <w:t>《深圳市关于推动新材料产业集群高质量发展的若干措施》，提出20条具体措施，围绕我市新材料产业七大重点发展领域共性及个性瓶颈，以问题为导向精准施策，形成“1+X”政策体系，集中资源加大产业支持力度，进一步补齐深圳市新材料产业链薄弱环节，加快打造优质产业集群。为保障各项资金项目扶持计划规范、阳光、高效、安全地组织实施，结合实际情况，制定专项资金使用的《操作规程》。</w:t>
      </w:r>
    </w:p>
    <w:p>
      <w:pPr>
        <w:ind w:firstLine="640" w:firstLineChars="200"/>
        <w:rPr>
          <w:rFonts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二、主要内容</w:t>
      </w:r>
    </w:p>
    <w:p>
      <w:pPr>
        <w:ind w:firstLine="640" w:firstLineChars="200"/>
        <w:jc w:val="left"/>
        <w:rPr>
          <w:rFonts w:hint="eastAsia" w:hAnsi="Calibri" w:cs="Times New Roman"/>
          <w:lang w:eastAsia="zh-CN"/>
        </w:rPr>
      </w:pPr>
      <w:r>
        <w:rPr>
          <w:rFonts w:hint="eastAsia"/>
          <w:lang w:eastAsia="zh-CN"/>
        </w:rPr>
        <w:t>《操作规程》分为八章三十四条：</w:t>
      </w:r>
    </w:p>
    <w:p>
      <w:pPr>
        <w:ind w:firstLine="640" w:firstLineChars="200"/>
        <w:rPr>
          <w:rFonts w:hint="eastAsia" w:hAnsi="Calibri" w:cs="Times New Roman"/>
          <w:lang w:eastAsia="zh-CN"/>
        </w:rPr>
      </w:pPr>
      <w:r>
        <w:rPr>
          <w:rFonts w:hint="eastAsia" w:hAnsi="Calibri" w:cs="Times New Roman"/>
          <w:lang w:eastAsia="zh-CN"/>
        </w:rPr>
        <w:t>第一章“总则”，明确《操作规程》政策依据、</w:t>
      </w:r>
      <w:r>
        <w:rPr>
          <w:rFonts w:hint="eastAsia"/>
          <w:lang w:eastAsia="zh-CN"/>
        </w:rPr>
        <w:t>扶持计划管理模式</w:t>
      </w:r>
      <w:r>
        <w:rPr>
          <w:rFonts w:hint="eastAsia" w:hAnsi="Calibri" w:cs="Times New Roman"/>
          <w:lang w:eastAsia="zh-CN"/>
        </w:rPr>
        <w:t>。</w:t>
      </w:r>
    </w:p>
    <w:p>
      <w:pPr>
        <w:ind w:firstLine="640" w:firstLineChars="200"/>
        <w:rPr>
          <w:rFonts w:hint="eastAsia" w:hAnsi="Calibri" w:cs="Times New Roman"/>
          <w:lang w:eastAsia="zh-CN"/>
        </w:rPr>
      </w:pPr>
      <w:r>
        <w:rPr>
          <w:rFonts w:hint="eastAsia" w:hAnsi="Calibri" w:cs="Times New Roman"/>
          <w:lang w:eastAsia="zh-CN"/>
        </w:rPr>
        <w:t>第二章“职责分工”，明确主管部门、项目单位、第三方专业服务机构职责分工。</w:t>
      </w:r>
    </w:p>
    <w:p>
      <w:pPr>
        <w:ind w:firstLine="640" w:firstLineChars="200"/>
        <w:rPr>
          <w:rFonts w:hAnsi="Calibri" w:cs="Times New Roman"/>
          <w:lang w:eastAsia="zh-CN"/>
        </w:rPr>
      </w:pPr>
      <w:r>
        <w:rPr>
          <w:rFonts w:hint="eastAsia" w:hAnsi="Calibri" w:cs="Times New Roman"/>
          <w:lang w:eastAsia="zh-CN"/>
        </w:rPr>
        <w:t>第三章“资助的项目类别、标准及其费用范围”，明确项目资助的内容和方向、资助标准及项目投入范围。</w:t>
      </w:r>
    </w:p>
    <w:p>
      <w:pPr>
        <w:ind w:firstLine="640" w:firstLineChars="200"/>
        <w:rPr>
          <w:rFonts w:hint="eastAsia" w:hAnsi="Calibri" w:cs="Times New Roman"/>
          <w:lang w:eastAsia="zh-CN"/>
        </w:rPr>
      </w:pPr>
      <w:r>
        <w:rPr>
          <w:rFonts w:hint="eastAsia" w:hAnsi="Calibri" w:cs="Times New Roman"/>
          <w:lang w:eastAsia="zh-CN"/>
        </w:rPr>
        <w:t>第四章“申报条件”，明确项目单位申报项目须具备的基础和专项申报条件。</w:t>
      </w:r>
    </w:p>
    <w:p>
      <w:pPr>
        <w:ind w:firstLine="640" w:firstLineChars="200"/>
        <w:rPr>
          <w:rFonts w:hint="eastAsia" w:hAnsi="Calibri" w:cs="Times New Roman"/>
          <w:lang w:eastAsia="zh-CN"/>
        </w:rPr>
      </w:pPr>
      <w:r>
        <w:rPr>
          <w:rFonts w:hint="eastAsia" w:hAnsi="Calibri" w:cs="Times New Roman"/>
          <w:lang w:eastAsia="zh-CN"/>
        </w:rPr>
        <w:t>第五章“申报材料”，明确项目单位申报项目须提供的材料。</w:t>
      </w:r>
    </w:p>
    <w:p>
      <w:pPr>
        <w:ind w:firstLine="640" w:firstLineChars="200"/>
        <w:rPr>
          <w:rFonts w:hint="eastAsia" w:hAnsi="Calibri" w:cs="Times New Roman"/>
          <w:lang w:eastAsia="zh-CN"/>
        </w:rPr>
      </w:pPr>
      <w:r>
        <w:rPr>
          <w:rFonts w:hint="eastAsia" w:hAnsi="Calibri" w:cs="Times New Roman"/>
          <w:lang w:eastAsia="zh-CN"/>
        </w:rPr>
        <w:t>第六章“项目扶持计划的组织实施”，明确项目申报、受理、审核、公示、下达资助计划等程序。</w:t>
      </w:r>
    </w:p>
    <w:p>
      <w:pPr>
        <w:ind w:firstLine="640" w:firstLineChars="200"/>
        <w:rPr>
          <w:rFonts w:hint="eastAsia" w:hAnsi="Calibri" w:cs="Times New Roman"/>
          <w:lang w:eastAsia="zh-CN"/>
        </w:rPr>
      </w:pPr>
      <w:r>
        <w:rPr>
          <w:rFonts w:hAnsi="Calibri" w:cs="Times New Roman"/>
          <w:lang w:eastAsia="zh-CN"/>
        </w:rPr>
        <w:t>第</w:t>
      </w:r>
      <w:r>
        <w:rPr>
          <w:rFonts w:hint="eastAsia" w:hAnsi="Calibri" w:cs="Times New Roman"/>
          <w:lang w:eastAsia="zh-CN"/>
        </w:rPr>
        <w:t>七章“绩效评价与监督管理”，明确绩效评价以及对主管部门、项目单位、第三方专业服务机构的监管措施。</w:t>
      </w:r>
    </w:p>
    <w:p>
      <w:pPr>
        <w:ind w:firstLine="640" w:firstLineChars="200"/>
        <w:rPr>
          <w:rFonts w:hint="eastAsia" w:ascii="黑体" w:hAnsi="黑体" w:eastAsia="黑体"/>
          <w:lang w:eastAsia="zh-CN"/>
        </w:rPr>
      </w:pPr>
      <w:r>
        <w:rPr>
          <w:rFonts w:hint="eastAsia" w:ascii="方正小标宋简体" w:hAnsi="Cambria" w:cs="Times New Roman"/>
          <w:bCs/>
          <w:color w:val="000000"/>
          <w:kern w:val="2"/>
          <w:szCs w:val="44"/>
          <w:lang w:eastAsia="zh-CN" w:bidi="ar-SA"/>
        </w:rPr>
        <w:t>第八章“附则”，明确《操作规程》实施期限等内容。</w:t>
      </w:r>
    </w:p>
    <w:p>
      <w:pPr>
        <w:ind w:firstLine="640" w:firstLineChars="200"/>
        <w:rPr>
          <w:rFonts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三、主要支持方向</w:t>
      </w:r>
    </w:p>
    <w:p>
      <w:pPr>
        <w:ind w:firstLine="640" w:firstLineChars="200"/>
        <w:jc w:val="left"/>
        <w:rPr>
          <w:kern w:val="2"/>
          <w:shd w:val="clear" w:color="auto" w:fill="FFFFFF"/>
          <w:lang w:eastAsia="zh-CN" w:bidi="ar-SA"/>
        </w:rPr>
      </w:pPr>
      <w:r>
        <w:rPr>
          <w:rFonts w:hint="eastAsia"/>
          <w:kern w:val="2"/>
          <w:shd w:val="clear" w:color="auto" w:fill="FFFFFF"/>
          <w:lang w:eastAsia="zh-CN" w:bidi="ar-SA"/>
        </w:rPr>
        <w:t>经过企业走访、座谈研究、专家咨询等工作，结合深圳新材料产业集群发展特点，总结往年扶持计划组织实施的经验，编制操作规程的主要内容。从支持方向来看，</w:t>
      </w:r>
      <w:r>
        <w:rPr>
          <w:kern w:val="2"/>
          <w:shd w:val="clear" w:color="auto" w:fill="FFFFFF"/>
          <w:lang w:eastAsia="zh-CN" w:bidi="ar-SA"/>
        </w:rPr>
        <w:t>共2</w:t>
      </w:r>
      <w:r>
        <w:rPr>
          <w:rFonts w:hint="eastAsia"/>
          <w:kern w:val="2"/>
          <w:shd w:val="clear" w:color="auto" w:fill="FFFFFF"/>
          <w:lang w:eastAsia="zh-CN" w:bidi="ar-SA"/>
        </w:rPr>
        <w:t>个资助方向为</w:t>
      </w:r>
      <w:r>
        <w:rPr>
          <w:kern w:val="2"/>
          <w:shd w:val="clear" w:color="auto" w:fill="FFFFFF"/>
          <w:lang w:eastAsia="zh-CN" w:bidi="ar-SA"/>
        </w:rPr>
        <w:t>新增资金</w:t>
      </w:r>
      <w:r>
        <w:rPr>
          <w:rFonts w:hint="eastAsia"/>
          <w:kern w:val="2"/>
          <w:shd w:val="clear" w:color="auto" w:fill="FFFFFF"/>
          <w:lang w:eastAsia="zh-CN" w:bidi="ar-SA"/>
        </w:rPr>
        <w:t>政策</w:t>
      </w:r>
      <w:r>
        <w:rPr>
          <w:kern w:val="2"/>
          <w:shd w:val="clear" w:color="auto" w:fill="FFFFFF"/>
          <w:lang w:eastAsia="zh-CN" w:bidi="ar-SA"/>
        </w:rPr>
        <w:t>，</w:t>
      </w:r>
      <w:r>
        <w:rPr>
          <w:rFonts w:hint="eastAsia"/>
          <w:kern w:val="2"/>
          <w:shd w:val="clear" w:color="auto" w:fill="FFFFFF"/>
          <w:lang w:eastAsia="zh-CN" w:bidi="ar-SA"/>
        </w:rPr>
        <w:t>3个资助方向</w:t>
      </w:r>
      <w:r>
        <w:rPr>
          <w:kern w:val="2"/>
          <w:shd w:val="clear" w:color="auto" w:fill="FFFFFF"/>
          <w:lang w:eastAsia="zh-CN" w:bidi="ar-SA"/>
        </w:rPr>
        <w:t>为优化现有资金政策。具体如下：</w:t>
      </w:r>
    </w:p>
    <w:p>
      <w:pPr>
        <w:ind w:firstLine="640" w:firstLineChars="200"/>
        <w:jc w:val="left"/>
        <w:rPr>
          <w:kern w:val="2"/>
          <w:shd w:val="clear" w:color="auto" w:fill="FFFFFF"/>
          <w:lang w:eastAsia="zh-CN" w:bidi="ar-SA"/>
        </w:rPr>
      </w:pPr>
      <w:r>
        <w:rPr>
          <w:rFonts w:hint="eastAsia" w:ascii="楷体_GB2312" w:hAnsi="楷体_GB2312" w:eastAsia="楷体_GB2312" w:cs="楷体_GB2312"/>
          <w:kern w:val="2"/>
          <w:shd w:val="clear" w:color="auto" w:fill="FFFFFF"/>
          <w:lang w:eastAsia="zh-CN" w:bidi="ar-SA"/>
        </w:rPr>
        <w:t>（一）关于新增资金政策。</w:t>
      </w:r>
    </w:p>
    <w:p>
      <w:pPr>
        <w:ind w:firstLine="643" w:firstLineChars="200"/>
        <w:jc w:val="left"/>
        <w:rPr>
          <w:kern w:val="2"/>
          <w:shd w:val="clear" w:color="auto" w:fill="FFFFFF"/>
          <w:lang w:eastAsia="zh-CN" w:bidi="ar-SA"/>
        </w:rPr>
      </w:pPr>
      <w:r>
        <w:rPr>
          <w:b/>
          <w:bCs/>
          <w:kern w:val="2"/>
          <w:shd w:val="clear" w:color="auto" w:fill="FFFFFF"/>
          <w:lang w:eastAsia="zh-CN" w:bidi="ar-SA"/>
        </w:rPr>
        <w:t>一是</w:t>
      </w:r>
      <w:r>
        <w:rPr>
          <w:rFonts w:hint="eastAsia"/>
          <w:kern w:val="2"/>
          <w:shd w:val="clear" w:color="auto" w:fill="FFFFFF"/>
          <w:lang w:eastAsia="zh-CN" w:bidi="ar-SA"/>
        </w:rPr>
        <w:t>关键材料测试验证平台项目</w:t>
      </w:r>
      <w:r>
        <w:rPr>
          <w:kern w:val="2"/>
          <w:shd w:val="clear" w:color="auto" w:fill="FFFFFF"/>
          <w:lang w:eastAsia="zh-CN" w:bidi="ar-SA"/>
        </w:rPr>
        <w:t>。目前，我市在光刻胶、液晶取向膜、偏光片原材料、PI膜等集成电路、新型显示和通信材料领域“卡脖子”材料方面均有布局研发，需依托下游厂商开展测试验证和产品导入。</w:t>
      </w:r>
      <w:r>
        <w:rPr>
          <w:rFonts w:hint="eastAsia"/>
          <w:kern w:val="2"/>
          <w:shd w:val="clear" w:color="auto" w:fill="FFFFFF"/>
          <w:lang w:eastAsia="zh-CN" w:bidi="ar-SA"/>
        </w:rPr>
        <w:t>为降低新材料企业在产品改进和实际应用的成本，考虑对</w:t>
      </w:r>
      <w:r>
        <w:rPr>
          <w:kern w:val="2"/>
          <w:shd w:val="clear" w:color="auto" w:fill="FFFFFF"/>
          <w:lang w:eastAsia="zh-CN" w:bidi="ar-SA"/>
        </w:rPr>
        <w:t>下游龙头企业</w:t>
      </w:r>
      <w:r>
        <w:rPr>
          <w:rFonts w:hint="eastAsia"/>
          <w:kern w:val="2"/>
          <w:shd w:val="clear" w:color="auto" w:fill="FFFFFF"/>
          <w:lang w:eastAsia="zh-CN" w:bidi="ar-SA"/>
        </w:rPr>
        <w:t>等机构</w:t>
      </w:r>
      <w:r>
        <w:rPr>
          <w:kern w:val="2"/>
          <w:shd w:val="clear" w:color="auto" w:fill="FFFFFF"/>
          <w:lang w:eastAsia="zh-CN" w:bidi="ar-SA"/>
        </w:rPr>
        <w:t>建设相关测试验证平台予以支持。</w:t>
      </w:r>
    </w:p>
    <w:p>
      <w:pPr>
        <w:ind w:firstLine="643" w:firstLineChars="200"/>
        <w:jc w:val="left"/>
        <w:rPr>
          <w:kern w:val="2"/>
          <w:shd w:val="clear" w:color="auto" w:fill="FFFFFF"/>
          <w:lang w:eastAsia="zh-CN" w:bidi="ar-SA"/>
        </w:rPr>
      </w:pPr>
      <w:r>
        <w:rPr>
          <w:b/>
          <w:bCs/>
          <w:kern w:val="2"/>
          <w:shd w:val="clear" w:color="auto" w:fill="FFFFFF"/>
          <w:lang w:eastAsia="zh-CN" w:bidi="ar-SA"/>
        </w:rPr>
        <w:t>二是</w:t>
      </w:r>
      <w:r>
        <w:rPr>
          <w:rFonts w:hint="eastAsia"/>
          <w:kern w:val="2"/>
          <w:shd w:val="clear" w:color="auto" w:fill="FFFFFF"/>
          <w:lang w:eastAsia="zh-CN" w:bidi="ar-SA"/>
        </w:rPr>
        <w:t>新材料企业及团队落地项目</w:t>
      </w:r>
      <w:r>
        <w:rPr>
          <w:kern w:val="2"/>
          <w:shd w:val="clear" w:color="auto" w:fill="FFFFFF"/>
          <w:lang w:eastAsia="zh-CN" w:bidi="ar-SA"/>
        </w:rPr>
        <w:t>。</w:t>
      </w:r>
      <w:r>
        <w:rPr>
          <w:rFonts w:hint="eastAsia"/>
          <w:kern w:val="2"/>
          <w:shd w:val="clear" w:color="auto" w:fill="FFFFFF"/>
          <w:lang w:eastAsia="zh-CN" w:bidi="ar-SA"/>
        </w:rPr>
        <w:t>针对在</w:t>
      </w:r>
      <w:r>
        <w:rPr>
          <w:kern w:val="2"/>
          <w:shd w:val="clear" w:color="auto" w:fill="FFFFFF"/>
          <w:lang w:eastAsia="zh-CN" w:bidi="ar-SA"/>
        </w:rPr>
        <w:t>光刻胶、有机发光材料、高端电子化学品等我市未来拟重点发展的关键缺失环节，引进</w:t>
      </w:r>
      <w:r>
        <w:rPr>
          <w:rFonts w:hint="eastAsia"/>
          <w:kern w:val="2"/>
          <w:shd w:val="clear" w:color="auto" w:fill="FFFFFF"/>
          <w:lang w:eastAsia="zh-CN" w:bidi="ar-SA"/>
        </w:rPr>
        <w:t>的企业及团队落地的研发和产业化</w:t>
      </w:r>
      <w:r>
        <w:rPr>
          <w:kern w:val="2"/>
          <w:shd w:val="clear" w:color="auto" w:fill="FFFFFF"/>
          <w:lang w:eastAsia="zh-CN" w:bidi="ar-SA"/>
        </w:rPr>
        <w:t>项目</w:t>
      </w:r>
      <w:r>
        <w:rPr>
          <w:rFonts w:hint="eastAsia"/>
          <w:kern w:val="2"/>
          <w:shd w:val="clear" w:color="auto" w:fill="FFFFFF"/>
          <w:lang w:eastAsia="zh-CN" w:bidi="ar-SA"/>
        </w:rPr>
        <w:t>给予支持，补齐新材料产业链发展的短板。</w:t>
      </w:r>
    </w:p>
    <w:p>
      <w:pPr>
        <w:ind w:firstLine="640" w:firstLineChars="200"/>
        <w:jc w:val="left"/>
        <w:rPr>
          <w:kern w:val="2"/>
          <w:shd w:val="clear" w:color="auto" w:fill="FFFFFF"/>
          <w:lang w:eastAsia="zh-CN" w:bidi="ar-SA"/>
        </w:rPr>
      </w:pPr>
      <w:r>
        <w:rPr>
          <w:rFonts w:hint="eastAsia" w:ascii="楷体_GB2312" w:hAnsi="楷体_GB2312" w:eastAsia="楷体_GB2312" w:cs="楷体_GB2312"/>
          <w:kern w:val="2"/>
          <w:shd w:val="clear" w:color="auto" w:fill="FFFFFF"/>
          <w:lang w:eastAsia="zh-CN" w:bidi="ar-SA"/>
        </w:rPr>
        <w:t>（二）关于优化现有资金政策。</w:t>
      </w:r>
    </w:p>
    <w:p>
      <w:pPr>
        <w:rPr>
          <w:rFonts w:hint="eastAsia"/>
          <w:lang w:eastAsia="zh-CN"/>
        </w:rPr>
      </w:pPr>
      <w:r>
        <w:rPr>
          <w:rFonts w:hint="eastAsia"/>
          <w:kern w:val="2"/>
          <w:shd w:val="clear" w:color="auto" w:fill="FFFFFF"/>
          <w:lang w:eastAsia="zh-CN" w:bidi="ar-SA"/>
        </w:rPr>
        <w:t>结合前期调研和以往扶持计划的实施情况，《操作规程》对</w:t>
      </w:r>
      <w:r>
        <w:rPr>
          <w:kern w:val="2"/>
          <w:shd w:val="clear" w:color="auto" w:fill="FFFFFF"/>
          <w:lang w:eastAsia="zh-CN" w:bidi="ar-SA"/>
        </w:rPr>
        <w:t>新材料产业链关键环节提升</w:t>
      </w:r>
      <w:r>
        <w:rPr>
          <w:rFonts w:hint="eastAsia"/>
          <w:kern w:val="2"/>
          <w:shd w:val="clear" w:color="auto" w:fill="FFFFFF"/>
          <w:lang w:eastAsia="zh-CN" w:bidi="ar-SA"/>
        </w:rPr>
        <w:t>项目</w:t>
      </w:r>
      <w:r>
        <w:rPr>
          <w:kern w:val="2"/>
          <w:shd w:val="clear" w:color="auto" w:fill="FFFFFF"/>
          <w:lang w:eastAsia="zh-CN" w:bidi="ar-SA"/>
        </w:rPr>
        <w:t>、</w:t>
      </w:r>
      <w:r>
        <w:rPr>
          <w:rFonts w:hint="eastAsia"/>
          <w:kern w:val="2"/>
          <w:shd w:val="clear" w:color="auto" w:fill="FFFFFF"/>
          <w:lang w:eastAsia="zh-CN" w:bidi="ar-SA"/>
        </w:rPr>
        <w:t>首批次重点新材料项目、产业服务体系建设项目</w:t>
      </w:r>
      <w:r>
        <w:rPr>
          <w:kern w:val="2"/>
          <w:shd w:val="clear" w:color="auto" w:fill="FFFFFF"/>
          <w:lang w:eastAsia="zh-CN" w:bidi="ar-SA"/>
        </w:rPr>
        <w:t>等</w:t>
      </w:r>
      <w:r>
        <w:rPr>
          <w:rFonts w:hint="eastAsia"/>
          <w:kern w:val="2"/>
          <w:shd w:val="clear" w:color="auto" w:fill="FFFFFF"/>
          <w:lang w:eastAsia="zh-CN" w:bidi="ar-SA"/>
        </w:rPr>
        <w:t>3个资助方向的支持内容、资助比例、资助额度等进行了优化和调整，进一步聚焦关键环节和重点领域，最大限度提升资金使用效率。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418" w:bottom="1418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0"/>
      <w:jc w:val="right"/>
      <w:rPr>
        <w:rFonts w:ascii="宋体" w:hAnsi="宋体" w:eastAsia="宋体"/>
        <w:sz w:val="24"/>
        <w:szCs w:val="28"/>
      </w:rPr>
    </w:pPr>
    <w:r>
      <w:rPr>
        <w:rFonts w:ascii="宋体" w:hAnsi="宋体" w:eastAsia="宋体"/>
        <w:sz w:val="24"/>
        <w:szCs w:val="28"/>
      </w:rPr>
      <w:fldChar w:fldCharType="begin"/>
    </w:r>
    <w:r>
      <w:rPr>
        <w:rFonts w:ascii="宋体" w:hAnsi="宋体" w:eastAsia="宋体"/>
        <w:sz w:val="24"/>
        <w:szCs w:val="28"/>
      </w:rPr>
      <w:instrText xml:space="preserve"> PAGE   \* MERGEFORMAT </w:instrText>
    </w:r>
    <w:r>
      <w:rPr>
        <w:rFonts w:ascii="宋体" w:hAnsi="宋体" w:eastAsia="宋体"/>
        <w:sz w:val="24"/>
        <w:szCs w:val="28"/>
      </w:rPr>
      <w:fldChar w:fldCharType="separate"/>
    </w:r>
    <w:r>
      <w:rPr>
        <w:rFonts w:ascii="宋体" w:hAnsi="宋体" w:eastAsia="宋体"/>
        <w:sz w:val="24"/>
        <w:szCs w:val="28"/>
        <w:lang w:val="zh-CN"/>
      </w:rPr>
      <w:t>-</w:t>
    </w:r>
    <w:r>
      <w:rPr>
        <w:rFonts w:ascii="宋体" w:hAnsi="宋体" w:eastAsia="宋体"/>
        <w:sz w:val="24"/>
        <w:szCs w:val="28"/>
      </w:rPr>
      <w:t xml:space="preserve"> 21 -</w:t>
    </w:r>
    <w:r>
      <w:rPr>
        <w:rFonts w:ascii="宋体" w:hAnsi="宋体" w:eastAsia="宋体"/>
        <w:sz w:val="24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Style w:val="6"/>
        <w:rFonts w:ascii="宋体" w:hAnsi="宋体"/>
        <w:sz w:val="24"/>
        <w:szCs w:val="24"/>
      </w:rPr>
    </w:pPr>
    <w: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fldChar w:fldCharType="separate"/>
    </w:r>
    <w:r>
      <w:rPr>
        <w:rStyle w:val="6"/>
        <w:rFonts w:ascii="宋体" w:hAnsi="宋体"/>
        <w:sz w:val="24"/>
        <w:szCs w:val="24"/>
      </w:rPr>
      <w:t>- 20 -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hint="eastAsia"/>
      </w:rPr>
    </w:pPr>
  </w:p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zRhZjNlYWJiOGVmNjkxZmY3MjNlMTU5NmE1ZjMifQ=="/>
  </w:docVars>
  <w:rsids>
    <w:rsidRoot w:val="3B9232F9"/>
    <w:rsid w:val="3B9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仿宋_GB2312" w:hAnsi="仿宋_GB2312" w:eastAsia="仿宋_GB2312" w:cs="仿宋_GB2312"/>
      <w:sz w:val="32"/>
      <w:szCs w:val="32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2023-10-25T07:03:00Z</dcterms:created>
  <dcterms:modified xsi:type="dcterms:W3CDTF">2023-10-25T07:03:32Z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757709F6867E4499859F39B61E1A98BC_11</vt:lpwstr>
  </property>
</Properties>
</file>