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附件1</w:t>
      </w: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黑体" w:hAnsi="黑体" w:eastAsia="黑体" w:cs="黑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0"/>
        <w:rPr>
          <w:rFonts w:hint="eastAsia" w:ascii="方正小标宋简体" w:hAnsi="方正小标宋简体" w:eastAsia="方正小标宋简体" w:cs="方正小标宋简体"/>
          <w:kern w:val="2"/>
          <w:sz w:val="44"/>
          <w:szCs w:val="44"/>
          <w:lang w:val="en-US" w:eastAsia="zh-CN" w:bidi="ar-SA"/>
        </w:rPr>
      </w:pPr>
      <w:bookmarkStart w:id="0" w:name="_GoBack"/>
      <w:r>
        <w:rPr>
          <w:rFonts w:hint="eastAsia" w:ascii="方正小标宋简体" w:hAnsi="方正小标宋简体" w:eastAsia="方正小标宋简体" w:cs="方正小标宋简体"/>
          <w:kern w:val="2"/>
          <w:sz w:val="44"/>
          <w:szCs w:val="44"/>
          <w:lang w:val="en-US" w:eastAsia="zh-CN" w:bidi="ar-SA"/>
        </w:rPr>
        <w:t>2023年深圳市工业园区网络升级改造</w:t>
      </w:r>
    </w:p>
    <w:p>
      <w:pPr>
        <w:keepNext w:val="0"/>
        <w:keepLines w:val="0"/>
        <w:pageBreakBefore w:val="0"/>
        <w:widowControl w:val="0"/>
        <w:kinsoku/>
        <w:wordWrap/>
        <w:overflowPunct/>
        <w:topLinePunct w:val="0"/>
        <w:autoSpaceDE/>
        <w:autoSpaceDN/>
        <w:bidi w:val="0"/>
        <w:spacing w:line="560" w:lineRule="exact"/>
        <w:ind w:firstLine="0" w:firstLineChars="0"/>
        <w:jc w:val="center"/>
        <w:textAlignment w:val="auto"/>
        <w:outlineLvl w:val="0"/>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工作方案</w:t>
      </w:r>
      <w:bookmarkEnd w:id="0"/>
    </w:p>
    <w:p>
      <w:pPr>
        <w:keepNext w:val="0"/>
        <w:keepLines w:val="0"/>
        <w:pageBreakBefore w:val="0"/>
        <w:widowControl w:val="0"/>
        <w:kinsoku/>
        <w:wordWrap/>
        <w:overflowPunct/>
        <w:topLinePunct w:val="0"/>
        <w:autoSpaceDE/>
        <w:autoSpaceDN/>
        <w:bidi w:val="0"/>
        <w:spacing w:line="560" w:lineRule="exact"/>
        <w:ind w:firstLine="0" w:firstLineChars="0"/>
        <w:jc w:val="center"/>
        <w:textAlignment w:val="auto"/>
        <w:outlineLvl w:val="0"/>
        <w:rPr>
          <w:rFonts w:hint="eastAsia" w:ascii="方正小标宋简体" w:hAnsi="方正小标宋简体" w:eastAsia="方正小标宋简体" w:cs="方正小标宋简体"/>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为加快推进2023年工业园区</w:t>
      </w:r>
      <w:r>
        <w:rPr>
          <w:rFonts w:hint="eastAsia" w:ascii="仿宋_GB2312" w:hAnsi="仿宋_GB2312" w:eastAsia="仿宋_GB2312" w:cs="仿宋_GB2312"/>
          <w:sz w:val="32"/>
          <w:szCs w:val="32"/>
        </w:rPr>
        <w:t>（产业园区）</w:t>
      </w:r>
      <w:r>
        <w:rPr>
          <w:rFonts w:hint="eastAsia" w:ascii="仿宋_GB2312" w:hAnsi="仿宋_GB2312" w:eastAsia="仿宋_GB2312" w:cs="仿宋_GB2312"/>
          <w:color w:val="000000"/>
          <w:sz w:val="32"/>
          <w:szCs w:val="32"/>
        </w:rPr>
        <w:t>网络升级改造工作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sz w:val="32"/>
          <w:szCs w:val="32"/>
        </w:rPr>
        <w:t>根据《深圳市推进新型信息基础设施建设行动计划（</w:t>
      </w:r>
      <w:r>
        <w:rPr>
          <w:rFonts w:ascii="仿宋_GB2312" w:hAnsi="仿宋_GB2312" w:eastAsia="仿宋_GB2312" w:cs="仿宋_GB2312"/>
          <w:color w:val="000000"/>
          <w:sz w:val="32"/>
          <w:szCs w:val="32"/>
        </w:rPr>
        <w:t>2022-2025年）》</w:t>
      </w:r>
      <w:r>
        <w:rPr>
          <w:rFonts w:hint="eastAsia" w:ascii="仿宋_GB2312" w:hAnsi="仿宋_GB2312" w:eastAsia="仿宋_GB2312" w:cs="仿宋_GB2312"/>
          <w:color w:val="000000"/>
          <w:sz w:val="32"/>
          <w:szCs w:val="32"/>
        </w:rPr>
        <w:t>（深府办函〔2022〕14号）</w:t>
      </w:r>
      <w:r>
        <w:rPr>
          <w:rFonts w:hint="eastAsia" w:ascii="仿宋_GB2312" w:hAnsi="仿宋_GB2312" w:eastAsia="仿宋_GB2312" w:cs="仿宋_GB2312"/>
          <w:color w:val="000000"/>
          <w:sz w:val="32"/>
          <w:szCs w:val="32"/>
          <w:lang w:eastAsia="zh-CN"/>
        </w:rPr>
        <w:t>、</w:t>
      </w:r>
      <w:r>
        <w:rPr>
          <w:rFonts w:ascii="仿宋_GB2312" w:hAnsi="仿宋_GB2312" w:eastAsia="仿宋_GB2312" w:cs="仿宋_GB2312"/>
          <w:color w:val="000000"/>
          <w:sz w:val="32"/>
          <w:szCs w:val="32"/>
        </w:rPr>
        <w:t>《深圳市支持新型信息基础设施建设的若干措施》</w:t>
      </w:r>
      <w:r>
        <w:rPr>
          <w:rFonts w:hint="eastAsia" w:ascii="仿宋_GB2312" w:hAnsi="仿宋_GB2312" w:eastAsia="仿宋_GB2312" w:cs="仿宋_GB2312"/>
          <w:color w:val="000000"/>
          <w:sz w:val="32"/>
          <w:szCs w:val="32"/>
        </w:rPr>
        <w:t>（深府办函〔2022〕104号）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《深圳市极速先锋城市建设行动计划》《深圳市工业和信息化局工业园区网络升级改造示范项目扶持计划操作规程》（深工信规〔2023〕1号）</w:t>
      </w:r>
      <w:r>
        <w:rPr>
          <w:rFonts w:ascii="仿宋_GB2312" w:hAnsi="仿宋_GB2312" w:eastAsia="仿宋_GB2312" w:cs="仿宋_GB2312"/>
          <w:color w:val="000000"/>
          <w:sz w:val="32"/>
          <w:szCs w:val="32"/>
        </w:rPr>
        <w:t>等有关</w:t>
      </w:r>
      <w:r>
        <w:rPr>
          <w:rFonts w:hint="eastAsia" w:ascii="仿宋_GB2312" w:hAnsi="仿宋_GB2312" w:eastAsia="仿宋_GB2312" w:cs="仿宋_GB2312"/>
          <w:color w:val="000000"/>
          <w:sz w:val="32"/>
          <w:szCs w:val="32"/>
        </w:rPr>
        <w:t>文件</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制定本工作方案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、工作目标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（一）实施范围。</w:t>
      </w:r>
      <w:r>
        <w:rPr>
          <w:rFonts w:hint="eastAsia" w:ascii="仿宋_GB2312" w:hAnsi="仿宋_GB2312" w:eastAsia="仿宋_GB2312" w:cs="仿宋_GB2312"/>
          <w:kern w:val="2"/>
          <w:sz w:val="32"/>
          <w:szCs w:val="32"/>
          <w:lang w:val="en-US" w:eastAsia="zh-CN" w:bidi="ar-SA"/>
        </w:rPr>
        <w:t>全市范围内服务生产制造及技术研发，已实现供电企业直接送电，且通信设备机房、通信管道等配套设施条件较好的工业园区（产业园区）。</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改造内容。</w:t>
      </w:r>
      <w:r>
        <w:rPr>
          <w:rFonts w:hint="eastAsia" w:ascii="仿宋_GB2312" w:hAnsi="仿宋_GB2312" w:eastAsia="仿宋_GB2312" w:cs="仿宋_GB2312"/>
          <w:b w:val="0"/>
          <w:bCs w:val="0"/>
          <w:sz w:val="32"/>
          <w:szCs w:val="32"/>
          <w:lang w:val="en-US" w:eastAsia="zh-CN"/>
        </w:rPr>
        <w:t>采用无源光网络（PON）、光传送网（OTN）技术对园区有线网络进行升级改造，推动光纤到产线、</w:t>
      </w:r>
      <w:r>
        <w:rPr>
          <w:rFonts w:hint="eastAsia" w:ascii="仿宋_GB2312" w:hAnsi="仿宋_GB2312" w:eastAsia="仿宋_GB2312" w:cs="仿宋_GB2312"/>
          <w:sz w:val="32"/>
          <w:szCs w:val="32"/>
        </w:rPr>
        <w:t>光纤到办公室、光纤到桌面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建设覆盖园区的5G网络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基于NB-IoT、eMTC等技术的物联网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基于Wi-Fi</w:t>
      </w: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sz w:val="32"/>
          <w:szCs w:val="32"/>
        </w:rPr>
        <w:t>技术的高品质无线局域网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面向园区企业集中部署低时延响应算力资源，实现海量数据本地处理、业务本地闭环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满足低空经济发展需要的网络基础设施建设。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（三）总体目标。</w:t>
      </w:r>
      <w:r>
        <w:rPr>
          <w:rFonts w:hint="eastAsia" w:ascii="仿宋_GB2312" w:hAnsi="仿宋_GB2312" w:eastAsia="仿宋_GB2312" w:cs="仿宋_GB2312"/>
          <w:kern w:val="2"/>
          <w:sz w:val="32"/>
          <w:szCs w:val="32"/>
          <w:lang w:val="en-US" w:eastAsia="zh-CN" w:bidi="ar-SA"/>
        </w:rPr>
        <w:t>到2023年底，完成不少于100个工业园区（产业园区）网络升级改造工作，打造一批高速率、低时延、高可靠、广覆盖的全光网络工业园区，形成一批信息基础设施赋能数字化转型的典型应用场景。实现园区5G网络全覆盖；面向园区企业提供万兆接入能力，有线网络速率不低于900Mbps，移动网络下行均值速率不低于500Mbps、上行均值速率不低于100Mbps。</w:t>
      </w:r>
    </w:p>
    <w:p>
      <w:pPr>
        <w:pStyle w:val="3"/>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0"/>
        <w:rPr>
          <w:rFonts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、重点</w:t>
      </w:r>
      <w:r>
        <w:rPr>
          <w:rFonts w:hint="eastAsia" w:ascii="黑体" w:hAnsi="黑体" w:eastAsia="黑体" w:cs="黑体"/>
          <w:sz w:val="32"/>
          <w:szCs w:val="32"/>
          <w:lang w:val="en-US" w:eastAsia="zh-CN"/>
        </w:rPr>
        <w:t>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val="en-US" w:eastAsia="zh-CN"/>
        </w:rPr>
        <w:t>制定年度计划</w:t>
      </w:r>
      <w:r>
        <w:rPr>
          <w:rFonts w:hint="eastAsia" w:ascii="楷体_GB2312" w:hAnsi="楷体_GB2312" w:eastAsia="楷体_GB2312" w:cs="楷体_GB2312"/>
          <w:b/>
          <w:bCs/>
          <w:sz w:val="32"/>
          <w:szCs w:val="32"/>
        </w:rPr>
        <w:t>。</w:t>
      </w:r>
      <w:r>
        <w:rPr>
          <w:rFonts w:hint="eastAsia" w:ascii="仿宋_GB2312" w:hAnsi="仿宋_GB2312" w:eastAsia="仿宋_GB2312" w:cs="仿宋_GB2312"/>
          <w:b w:val="0"/>
          <w:bCs w:val="0"/>
          <w:sz w:val="32"/>
          <w:szCs w:val="32"/>
          <w:lang w:val="en-US" w:eastAsia="zh-CN"/>
        </w:rPr>
        <w:t>各区全面梳理和评估辖区内工业园区（产业园区）信息基础设施建设情况，围绕总体目标和改造内容，编制2023年度工业园区（产业园区）网络升级改造计划，明确辖区改造目标、改造范围、改造规模以及时间计划等。</w:t>
      </w:r>
      <w:r>
        <w:rPr>
          <w:rFonts w:hint="eastAsia" w:ascii="楷体_GB2312" w:hAnsi="楷体_GB2312" w:eastAsia="楷体_GB2312" w:cs="楷体_GB2312"/>
          <w:b w:val="0"/>
          <w:bCs w:val="0"/>
          <w:sz w:val="32"/>
          <w:szCs w:val="32"/>
          <w:lang w:val="en-US" w:eastAsia="zh-CN"/>
        </w:rPr>
        <w:t>（责任单位：各区政府、新区管委会、深汕特别合作区管委会）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bCs/>
          <w:sz w:val="32"/>
          <w:szCs w:val="32"/>
          <w:lang w:val="en-US" w:eastAsia="zh-CN"/>
        </w:rPr>
        <w:t>（二）强化规范指引。</w:t>
      </w:r>
      <w:r>
        <w:rPr>
          <w:rFonts w:hint="eastAsia" w:ascii="仿宋_GB2312" w:hAnsi="仿宋_GB2312" w:eastAsia="仿宋_GB2312" w:cs="仿宋_GB2312"/>
          <w:b w:val="0"/>
          <w:bCs w:val="0"/>
          <w:sz w:val="32"/>
          <w:szCs w:val="32"/>
          <w:lang w:val="en-US" w:eastAsia="zh-CN"/>
        </w:rPr>
        <w:t>组织制定工业园区（产业园区）网络升级改造技术指引，以需求为导向，按照不同园区类型，从适用技术、网络覆盖率、网络性能、应用水平等多维度明确网络升级改造要求，为园区网络升级改造及后续评估提供技术参考。</w:t>
      </w:r>
      <w:r>
        <w:rPr>
          <w:rFonts w:hint="eastAsia" w:ascii="楷体_GB2312" w:hAnsi="楷体_GB2312" w:eastAsia="楷体_GB2312" w:cs="楷体_GB2312"/>
          <w:b w:val="0"/>
          <w:bCs w:val="0"/>
          <w:sz w:val="32"/>
          <w:szCs w:val="32"/>
          <w:lang w:val="en-US" w:eastAsia="zh-CN"/>
        </w:rPr>
        <w:t>（责任单位：市工业和信息化局）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（三）统筹协调推动。</w:t>
      </w:r>
      <w:r>
        <w:rPr>
          <w:rFonts w:hint="eastAsia" w:ascii="仿宋_GB2312" w:hAnsi="仿宋_GB2312" w:eastAsia="仿宋_GB2312" w:cs="仿宋_GB2312"/>
          <w:b w:val="0"/>
          <w:bCs w:val="0"/>
          <w:sz w:val="32"/>
          <w:szCs w:val="32"/>
          <w:lang w:val="en-US" w:eastAsia="zh-CN"/>
        </w:rPr>
        <w:t>各区按照园区产业实际和配套条件，结合园区升级改造、“三线下地”、“城中村改造”、“工业上楼”等，协调园区运营企业、基础电信企业等分阶段实施网络升级改造工作。按照集约化、绿色化建设原则，推动基站站址、通信管道、通信机房、宽带驻地网资源共建共享。</w:t>
      </w:r>
      <w:r>
        <w:rPr>
          <w:rFonts w:hint="eastAsia" w:ascii="楷体_GB2312" w:hAnsi="楷体_GB2312" w:eastAsia="楷体_GB2312" w:cs="楷体_GB2312"/>
          <w:b w:val="0"/>
          <w:bCs w:val="0"/>
          <w:sz w:val="32"/>
          <w:szCs w:val="32"/>
          <w:lang w:val="en-US" w:eastAsia="zh-CN"/>
        </w:rPr>
        <w:t>（责任单位：各区政府、新区管委会、深汕特别合作区管委会）</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val="0"/>
          <w:bCs/>
          <w:sz w:val="32"/>
          <w:szCs w:val="32"/>
          <w:lang w:eastAsia="zh-CN"/>
        </w:rPr>
      </w:pP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四</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加强成效评估。</w:t>
      </w:r>
      <w:r>
        <w:rPr>
          <w:rFonts w:hint="eastAsia" w:ascii="仿宋_GB2312" w:hAnsi="仿宋_GB2312" w:eastAsia="仿宋_GB2312" w:cs="仿宋_GB2312"/>
          <w:b w:val="0"/>
          <w:bCs/>
          <w:sz w:val="32"/>
          <w:szCs w:val="32"/>
          <w:lang w:val="en-US" w:eastAsia="zh-CN"/>
        </w:rPr>
        <w:t>建立成效评估机制，组织第三方专业机构对全市工业园区（产业园区）网络升级改造成效进行评估。各园区网络升级改造实施主体可根据园区改造进度自行组织评估，评估结果作为全市评估的参考依据。</w:t>
      </w:r>
      <w:r>
        <w:rPr>
          <w:rFonts w:hint="eastAsia" w:ascii="楷体_GB2312" w:hAnsi="楷体_GB2312" w:eastAsia="楷体_GB2312" w:cs="楷体_GB2312"/>
          <w:b w:val="0"/>
          <w:bCs w:val="0"/>
          <w:sz w:val="32"/>
          <w:szCs w:val="32"/>
          <w:lang w:val="en-US" w:eastAsia="zh-CN"/>
        </w:rPr>
        <w:t>（责任单位：市工业和信息化局，各区政府、新区管委会、深汕特别合作区管委会）</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、保障</w:t>
      </w:r>
      <w:r>
        <w:rPr>
          <w:rFonts w:hint="eastAsia" w:ascii="黑体" w:hAnsi="黑体" w:eastAsia="黑体" w:cs="黑体"/>
          <w:sz w:val="32"/>
          <w:szCs w:val="32"/>
          <w:lang w:val="en-US" w:eastAsia="zh-CN"/>
        </w:rPr>
        <w:t>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加强组织保障。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 w:hAnsi="楷体" w:eastAsia="楷体" w:cs="楷体"/>
          <w:b/>
          <w:bCs/>
          <w:sz w:val="32"/>
          <w:szCs w:val="32"/>
        </w:rPr>
      </w:pPr>
      <w:r>
        <w:rPr>
          <w:rFonts w:hint="eastAsia" w:ascii="仿宋_GB2312" w:hAnsi="仿宋_GB2312" w:eastAsia="仿宋_GB2312" w:cs="仿宋_GB2312"/>
          <w:sz w:val="32"/>
          <w:szCs w:val="32"/>
          <w:lang w:val="en-US" w:eastAsia="zh-CN"/>
        </w:rPr>
        <w:t>市极速先锋城市建设工作专班统筹协调推动工业园区网络升级改造相关工作，在极速先锋城市调度会上通报全市网络改造进度、协调有关问题。各区应参照市级协调机制，建立相应区级专班机制，做好本区域内工业园区网络升级改造相关工作，</w:t>
      </w:r>
      <w:r>
        <w:rPr>
          <w:rFonts w:hint="eastAsia" w:ascii="仿宋_GB2312" w:hAnsi="仿宋_GB2312" w:eastAsia="仿宋_GB2312" w:cs="仿宋_GB2312"/>
          <w:sz w:val="32"/>
          <w:szCs w:val="32"/>
        </w:rPr>
        <w:t>及时反馈改造过程中存在的问题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开放公共资源。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各工业</w:t>
      </w:r>
      <w:r>
        <w:rPr>
          <w:rFonts w:hint="eastAsia" w:ascii="仿宋_GB2312" w:hAnsi="仿宋_GB2312" w:eastAsia="仿宋_GB2312" w:cs="仿宋_GB2312"/>
          <w:bCs/>
          <w:sz w:val="32"/>
          <w:szCs w:val="32"/>
        </w:rPr>
        <w:t>园区</w:t>
      </w:r>
      <w:r>
        <w:rPr>
          <w:rFonts w:ascii="仿宋_GB2312" w:hAnsi="仿宋_GB2312" w:eastAsia="仿宋_GB2312" w:cs="仿宋_GB2312"/>
          <w:bCs/>
          <w:sz w:val="32"/>
          <w:szCs w:val="32"/>
        </w:rPr>
        <w:t>所属建筑物以及</w:t>
      </w:r>
      <w:r>
        <w:rPr>
          <w:rFonts w:hint="eastAsia" w:ascii="仿宋_GB2312" w:hAnsi="仿宋_GB2312" w:eastAsia="仿宋_GB2312" w:cs="仿宋_GB2312"/>
          <w:bCs/>
          <w:sz w:val="32"/>
          <w:szCs w:val="32"/>
        </w:rPr>
        <w:t>道路</w:t>
      </w:r>
      <w:r>
        <w:rPr>
          <w:rFonts w:ascii="仿宋_GB2312" w:hAnsi="仿宋_GB2312" w:eastAsia="仿宋_GB2312" w:cs="仿宋_GB2312"/>
          <w:bCs/>
          <w:sz w:val="32"/>
          <w:szCs w:val="32"/>
        </w:rPr>
        <w:t>、绿地等公共设施</w:t>
      </w:r>
      <w:r>
        <w:rPr>
          <w:rFonts w:hint="eastAsia" w:ascii="仿宋_GB2312" w:hAnsi="仿宋_GB2312" w:eastAsia="仿宋_GB2312" w:cs="仿宋_GB2312"/>
          <w:bCs/>
          <w:sz w:val="32"/>
          <w:szCs w:val="32"/>
        </w:rPr>
        <w:t>的</w:t>
      </w:r>
      <w:r>
        <w:rPr>
          <w:rFonts w:ascii="仿宋_GB2312" w:hAnsi="仿宋_GB2312" w:eastAsia="仿宋_GB2312" w:cs="仿宋_GB2312"/>
          <w:bCs/>
          <w:sz w:val="32"/>
          <w:szCs w:val="32"/>
        </w:rPr>
        <w:t>产权人、管理人和使用人,</w:t>
      </w:r>
      <w:r>
        <w:rPr>
          <w:rFonts w:hint="eastAsia" w:ascii="仿宋_GB2312" w:hAnsi="仿宋_GB2312" w:eastAsia="仿宋_GB2312" w:cs="仿宋_GB2312"/>
          <w:bCs/>
          <w:sz w:val="32"/>
          <w:szCs w:val="32"/>
        </w:rPr>
        <w:t>应当</w:t>
      </w:r>
      <w:r>
        <w:rPr>
          <w:rFonts w:ascii="仿宋_GB2312" w:hAnsi="仿宋_GB2312" w:eastAsia="仿宋_GB2312" w:cs="仿宋_GB2312"/>
          <w:bCs/>
          <w:sz w:val="32"/>
          <w:szCs w:val="32"/>
        </w:rPr>
        <w:t>开放园区路灯杆、视频监控杆、交通指示牌、电力杆塔等公共设施</w:t>
      </w:r>
      <w:r>
        <w:rPr>
          <w:rFonts w:hint="eastAsia" w:ascii="仿宋_GB2312" w:hAnsi="仿宋_GB2312" w:eastAsia="仿宋_GB2312" w:cs="仿宋_GB2312"/>
          <w:bCs/>
          <w:sz w:val="32"/>
          <w:szCs w:val="32"/>
          <w:lang w:val="en-US" w:eastAsia="zh-CN"/>
        </w:rPr>
        <w:t>资源</w:t>
      </w:r>
      <w:r>
        <w:rPr>
          <w:rFonts w:hint="eastAsia" w:ascii="仿宋_GB2312" w:hAnsi="仿宋_GB2312" w:eastAsia="仿宋_GB2312" w:cs="仿宋_GB2312"/>
          <w:bCs/>
          <w:sz w:val="32"/>
          <w:szCs w:val="32"/>
          <w:lang w:eastAsia="zh-CN"/>
        </w:rPr>
        <w:t>，</w:t>
      </w:r>
      <w:r>
        <w:rPr>
          <w:rFonts w:ascii="仿宋_GB2312" w:hAnsi="仿宋_GB2312" w:eastAsia="仿宋_GB2312" w:cs="仿宋_GB2312"/>
          <w:bCs/>
          <w:sz w:val="32"/>
          <w:szCs w:val="32"/>
        </w:rPr>
        <w:t>为</w:t>
      </w:r>
      <w:r>
        <w:rPr>
          <w:rFonts w:hint="eastAsia" w:ascii="仿宋_GB2312" w:hAnsi="仿宋_GB2312" w:eastAsia="仿宋_GB2312" w:cs="仿宋_GB2312"/>
          <w:bCs/>
          <w:sz w:val="32"/>
          <w:szCs w:val="32"/>
        </w:rPr>
        <w:t>网络</w:t>
      </w:r>
      <w:r>
        <w:rPr>
          <w:rFonts w:ascii="仿宋_GB2312" w:hAnsi="仿宋_GB2312" w:eastAsia="仿宋_GB2312" w:cs="仿宋_GB2312"/>
          <w:bCs/>
          <w:sz w:val="32"/>
          <w:szCs w:val="32"/>
        </w:rPr>
        <w:t>设施建设提供</w:t>
      </w:r>
      <w:r>
        <w:rPr>
          <w:rFonts w:hint="eastAsia" w:ascii="仿宋_GB2312" w:hAnsi="仿宋_GB2312" w:eastAsia="仿宋_GB2312" w:cs="仿宋_GB2312"/>
          <w:bCs/>
          <w:sz w:val="32"/>
          <w:szCs w:val="32"/>
        </w:rPr>
        <w:t>便利</w:t>
      </w:r>
      <w:r>
        <w:rPr>
          <w:rFonts w:ascii="仿宋_GB2312" w:hAnsi="仿宋_GB2312" w:eastAsia="仿宋_GB2312" w:cs="仿宋_GB2312"/>
          <w:bCs/>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加强宣传引导</w:t>
      </w:r>
      <w:r>
        <w:rPr>
          <w:rFonts w:hint="eastAsia" w:ascii="楷体_GB2312" w:hAnsi="楷体_GB2312" w:eastAsia="楷体_GB2312" w:cs="楷体_GB2312"/>
          <w:b/>
          <w:bCs/>
          <w:sz w:val="32"/>
          <w:szCs w:val="32"/>
        </w:rPr>
        <w:t>。</w:t>
      </w:r>
    </w:p>
    <w:p>
      <w:r>
        <w:rPr>
          <w:rFonts w:hint="eastAsia" w:ascii="仿宋_GB2312" w:hAnsi="仿宋_GB2312" w:eastAsia="仿宋_GB2312" w:cs="仿宋_GB2312"/>
          <w:sz w:val="32"/>
          <w:szCs w:val="32"/>
          <w:lang w:val="en-US" w:eastAsia="zh-CN"/>
        </w:rPr>
        <w:t>凝聚政府、企业、社区等各方力量，加强园区网络升级改造工作的宣传，争取社会各界的理解支持，为改造工作的顺利实施创造良好条件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对于优秀园区网络升级改造示范项目，在全国性大赛、论坛以及市级平台进行大力宣传，打造极速先锋城市亮丽名片。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MzRhZjNlYWJiOGVmNjkxZmY3MjNlMTU5NmE1ZjMifQ=="/>
  </w:docVars>
  <w:rsids>
    <w:rsidRoot w:val="1858239C"/>
    <w:rsid w:val="18582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index 8"/>
    <w:basedOn w:val="1"/>
    <w:next w:val="1"/>
    <w:qFormat/>
    <w:uiPriority w:val="0"/>
    <w:pPr>
      <w:spacing w:line="560" w:lineRule="exact"/>
      <w:ind w:left="2940" w:firstLine="200" w:firstLineChars="200"/>
    </w:pPr>
    <w:rPr>
      <w:rFonts w:ascii="仿宋_GB2312" w:hAnsi="Calibri" w:eastAsia="仿宋_GB2312"/>
      <w:sz w:val="32"/>
    </w:rPr>
  </w:style>
  <w:style w:type="paragraph" w:styleId="3">
    <w:name w:val="Plain Text"/>
    <w:basedOn w:val="1"/>
    <w:next w:val="2"/>
    <w:qFormat/>
    <w:uiPriority w:val="0"/>
    <w:pPr>
      <w:spacing w:line="560" w:lineRule="exact"/>
      <w:ind w:firstLine="200" w:firstLineChars="200"/>
    </w:pPr>
    <w:rPr>
      <w:rFonts w:ascii="宋体" w:hAnsi="Courier New" w:eastAsia="仿宋_GB2312" w:cs="Courier New"/>
      <w:sz w:val="32"/>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Pages>4</Pages>
  <Words>1499</Words>
  <Characters>1569</Characters>
  <DocSecurity>0</DocSecurity>
  <Lines>0</Lines>
  <Paragraphs>0</Paragraphs>
  <ScaleCrop>false</ScaleCrop>
  <LinksUpToDate>false</LinksUpToDate>
  <CharactersWithSpaces>1570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2023-07-14T10:55:00Z</dcterms:created>
  <dcterms:modified xsi:type="dcterms:W3CDTF">2023-07-14T10:56:27Z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7E74CA41CA374F429D5A5181ED68338E_11</vt:lpwstr>
  </property>
</Properties>
</file>